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CB" w:rsidRPr="0049001B" w:rsidRDefault="00121DCB" w:rsidP="007D510F">
      <w:pPr>
        <w:spacing w:line="360" w:lineRule="auto"/>
        <w:rPr>
          <w:rFonts w:asciiTheme="minorHAnsi" w:hAnsiTheme="minorHAnsi" w:cs="Tahoma"/>
          <w:b/>
          <w:bCs/>
          <w:sz w:val="24"/>
        </w:rPr>
      </w:pPr>
    </w:p>
    <w:p w:rsidR="005A2B50" w:rsidRPr="002B4173" w:rsidRDefault="00662B31" w:rsidP="007D510F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16"/>
          <w:szCs w:val="16"/>
        </w:rPr>
      </w:pPr>
      <w:r>
        <w:rPr>
          <w:rFonts w:asciiTheme="minorHAnsi" w:hAnsiTheme="minorHAnsi" w:cs="Tahoma"/>
          <w:b/>
          <w:bCs/>
          <w:caps/>
          <w:sz w:val="32"/>
          <w:szCs w:val="32"/>
        </w:rPr>
        <w:t>201</w:t>
      </w:r>
      <w:r w:rsidR="00B93DB5">
        <w:rPr>
          <w:rFonts w:asciiTheme="minorHAnsi" w:hAnsiTheme="minorHAnsi" w:cs="Tahoma"/>
          <w:b/>
          <w:bCs/>
          <w:caps/>
          <w:sz w:val="32"/>
          <w:szCs w:val="32"/>
        </w:rPr>
        <w:t>7</w:t>
      </w:r>
      <w:r>
        <w:rPr>
          <w:rFonts w:asciiTheme="minorHAnsi" w:hAnsiTheme="minorHAnsi" w:cs="Tahoma"/>
          <w:b/>
          <w:bCs/>
          <w:caps/>
          <w:sz w:val="32"/>
          <w:szCs w:val="32"/>
        </w:rPr>
        <w:t xml:space="preserve">: </w:t>
      </w:r>
      <w:r w:rsidR="006C3435" w:rsidRPr="005A2B50">
        <w:rPr>
          <w:rFonts w:asciiTheme="minorHAnsi" w:hAnsiTheme="minorHAnsi" w:cs="Tahoma"/>
          <w:b/>
          <w:bCs/>
          <w:caps/>
          <w:sz w:val="32"/>
          <w:szCs w:val="32"/>
        </w:rPr>
        <w:t xml:space="preserve">PER L’occhialeria italiana </w:t>
      </w:r>
      <w:r w:rsidR="0058136F">
        <w:rPr>
          <w:rFonts w:asciiTheme="minorHAnsi" w:hAnsiTheme="minorHAnsi" w:cs="Tahoma"/>
          <w:b/>
          <w:bCs/>
          <w:caps/>
          <w:sz w:val="32"/>
          <w:szCs w:val="32"/>
        </w:rPr>
        <w:t>un altro anno “normale”</w:t>
      </w:r>
    </w:p>
    <w:p w:rsidR="002B4173" w:rsidRPr="002B4173" w:rsidRDefault="002B4173" w:rsidP="007D510F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16"/>
          <w:szCs w:val="16"/>
        </w:rPr>
      </w:pPr>
    </w:p>
    <w:p w:rsidR="0058136F" w:rsidRDefault="00B51D4A" w:rsidP="00B51D4A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26"/>
          <w:szCs w:val="26"/>
        </w:rPr>
      </w:pPr>
      <w:r>
        <w:rPr>
          <w:rFonts w:asciiTheme="minorHAnsi" w:hAnsiTheme="minorHAnsi" w:cs="Tahoma"/>
          <w:b/>
          <w:bCs/>
          <w:caps/>
          <w:sz w:val="26"/>
          <w:szCs w:val="26"/>
        </w:rPr>
        <w:t>l’export continua a crescere</w:t>
      </w:r>
      <w:r w:rsidR="00463515">
        <w:rPr>
          <w:rFonts w:asciiTheme="minorHAnsi" w:hAnsiTheme="minorHAnsi" w:cs="Tahoma"/>
          <w:b/>
          <w:bCs/>
          <w:caps/>
          <w:sz w:val="26"/>
          <w:szCs w:val="26"/>
        </w:rPr>
        <w:t>, seppure</w:t>
      </w:r>
      <w:r w:rsidR="0058136F">
        <w:rPr>
          <w:rFonts w:asciiTheme="minorHAnsi" w:hAnsiTheme="minorHAnsi" w:cs="Tahoma"/>
          <w:b/>
          <w:bCs/>
          <w:caps/>
          <w:sz w:val="26"/>
          <w:szCs w:val="26"/>
        </w:rPr>
        <w:t xml:space="preserve"> in maniera contenuta: </w:t>
      </w:r>
    </w:p>
    <w:p w:rsidR="00102CB7" w:rsidRDefault="00463515" w:rsidP="00B51D4A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26"/>
          <w:szCs w:val="26"/>
        </w:rPr>
      </w:pPr>
      <w:r>
        <w:rPr>
          <w:rFonts w:asciiTheme="minorHAnsi" w:hAnsiTheme="minorHAnsi" w:cs="Tahoma"/>
          <w:b/>
          <w:bCs/>
          <w:caps/>
          <w:sz w:val="26"/>
          <w:szCs w:val="26"/>
        </w:rPr>
        <w:t>+</w:t>
      </w:r>
      <w:r w:rsidR="0058136F">
        <w:rPr>
          <w:rFonts w:asciiTheme="minorHAnsi" w:hAnsiTheme="minorHAnsi" w:cs="Tahoma"/>
          <w:b/>
          <w:bCs/>
          <w:caps/>
          <w:sz w:val="26"/>
          <w:szCs w:val="26"/>
        </w:rPr>
        <w:t>3,2</w:t>
      </w:r>
      <w:r w:rsidR="00B51D4A">
        <w:rPr>
          <w:rFonts w:asciiTheme="minorHAnsi" w:hAnsiTheme="minorHAnsi" w:cs="Tahoma"/>
          <w:b/>
          <w:bCs/>
          <w:caps/>
          <w:sz w:val="26"/>
          <w:szCs w:val="26"/>
        </w:rPr>
        <w:t xml:space="preserve">% a </w:t>
      </w:r>
      <w:r w:rsidR="006C3435" w:rsidRPr="0039781B">
        <w:rPr>
          <w:rFonts w:asciiTheme="minorHAnsi" w:hAnsiTheme="minorHAnsi" w:cs="Tahoma"/>
          <w:b/>
          <w:bCs/>
          <w:caps/>
          <w:sz w:val="26"/>
          <w:szCs w:val="26"/>
        </w:rPr>
        <w:t>3</w:t>
      </w:r>
      <w:r w:rsidR="009008F3" w:rsidRPr="0039781B">
        <w:rPr>
          <w:rFonts w:asciiTheme="minorHAnsi" w:hAnsiTheme="minorHAnsi" w:cs="Tahoma"/>
          <w:b/>
          <w:bCs/>
          <w:caps/>
          <w:sz w:val="26"/>
          <w:szCs w:val="26"/>
        </w:rPr>
        <w:t>,</w:t>
      </w:r>
      <w:r w:rsidR="0058136F">
        <w:rPr>
          <w:rFonts w:asciiTheme="minorHAnsi" w:hAnsiTheme="minorHAnsi" w:cs="Tahoma"/>
          <w:b/>
          <w:bCs/>
          <w:caps/>
          <w:sz w:val="26"/>
          <w:szCs w:val="26"/>
        </w:rPr>
        <w:t>7</w:t>
      </w:r>
      <w:r w:rsidR="009008F3" w:rsidRPr="0039781B">
        <w:rPr>
          <w:rFonts w:asciiTheme="minorHAnsi" w:hAnsiTheme="minorHAnsi" w:cs="Tahoma"/>
          <w:b/>
          <w:bCs/>
          <w:caps/>
          <w:sz w:val="26"/>
          <w:szCs w:val="26"/>
        </w:rPr>
        <w:t xml:space="preserve"> miliardi di euro.</w:t>
      </w:r>
    </w:p>
    <w:p w:rsidR="002B4173" w:rsidRPr="002B4173" w:rsidRDefault="002B4173" w:rsidP="005A2B50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16"/>
          <w:szCs w:val="16"/>
        </w:rPr>
      </w:pPr>
    </w:p>
    <w:p w:rsidR="001A7F91" w:rsidRDefault="00B51D4A" w:rsidP="007D510F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26"/>
          <w:szCs w:val="26"/>
        </w:rPr>
      </w:pPr>
      <w:r>
        <w:rPr>
          <w:rFonts w:asciiTheme="minorHAnsi" w:hAnsiTheme="minorHAnsi" w:cs="Tahoma"/>
          <w:b/>
          <w:bCs/>
          <w:caps/>
          <w:sz w:val="26"/>
          <w:szCs w:val="26"/>
        </w:rPr>
        <w:t xml:space="preserve">IL MERCATO INTERNO </w:t>
      </w:r>
      <w:r w:rsidR="0058136F">
        <w:rPr>
          <w:rFonts w:asciiTheme="minorHAnsi" w:hAnsiTheme="minorHAnsi" w:cs="Tahoma"/>
          <w:b/>
          <w:bCs/>
          <w:caps/>
          <w:sz w:val="26"/>
          <w:szCs w:val="26"/>
        </w:rPr>
        <w:t xml:space="preserve">non decolla e chiude in </w:t>
      </w:r>
      <w:r w:rsidR="00463515">
        <w:rPr>
          <w:rFonts w:asciiTheme="minorHAnsi" w:hAnsiTheme="minorHAnsi" w:cs="Tahoma"/>
          <w:b/>
          <w:bCs/>
          <w:caps/>
          <w:sz w:val="26"/>
          <w:szCs w:val="26"/>
        </w:rPr>
        <w:t>leggera flessione.</w:t>
      </w:r>
    </w:p>
    <w:p w:rsidR="00B51D4A" w:rsidRPr="0049001B" w:rsidRDefault="00B51D4A" w:rsidP="007D510F">
      <w:pPr>
        <w:spacing w:line="360" w:lineRule="auto"/>
        <w:jc w:val="center"/>
        <w:rPr>
          <w:rFonts w:asciiTheme="minorHAnsi" w:hAnsiTheme="minorHAnsi" w:cs="Tahoma"/>
          <w:b/>
          <w:bCs/>
          <w:sz w:val="24"/>
        </w:rPr>
      </w:pPr>
    </w:p>
    <w:p w:rsidR="00CA39D7" w:rsidRDefault="00CA39D7" w:rsidP="00C776A9">
      <w:pPr>
        <w:jc w:val="both"/>
        <w:rPr>
          <w:rFonts w:asciiTheme="minorHAnsi" w:hAnsiTheme="minorHAnsi" w:cs="Tahoma"/>
          <w:b/>
          <w:sz w:val="24"/>
        </w:rPr>
      </w:pPr>
    </w:p>
    <w:p w:rsidR="0044469D" w:rsidRPr="0049001B" w:rsidRDefault="0044469D" w:rsidP="00C776A9">
      <w:pPr>
        <w:jc w:val="both"/>
        <w:rPr>
          <w:rFonts w:asciiTheme="minorHAnsi" w:hAnsiTheme="minorHAnsi" w:cs="Tahoma"/>
          <w:b/>
          <w:sz w:val="24"/>
        </w:rPr>
      </w:pPr>
      <w:r w:rsidRPr="00770159">
        <w:rPr>
          <w:rFonts w:asciiTheme="minorHAnsi" w:hAnsiTheme="minorHAnsi" w:cs="Tahoma"/>
          <w:b/>
          <w:sz w:val="24"/>
        </w:rPr>
        <w:t>IL CONTESTO GENERALE</w:t>
      </w:r>
    </w:p>
    <w:p w:rsidR="0044469D" w:rsidRPr="0049001B" w:rsidRDefault="0044469D" w:rsidP="00C776A9">
      <w:pPr>
        <w:jc w:val="both"/>
        <w:rPr>
          <w:rFonts w:asciiTheme="minorHAnsi" w:hAnsiTheme="minorHAnsi" w:cs="Tahoma"/>
          <w:sz w:val="24"/>
        </w:rPr>
      </w:pPr>
    </w:p>
    <w:p w:rsidR="00463515" w:rsidRPr="00463515" w:rsidRDefault="00C77AB0" w:rsidP="00463515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Complessivamente a livello globale il 2017 ha mostrato una </w:t>
      </w:r>
      <w:r w:rsidR="00463515" w:rsidRPr="00463515">
        <w:rPr>
          <w:rFonts w:asciiTheme="minorHAnsi" w:hAnsiTheme="minorHAnsi" w:cs="Tahoma"/>
          <w:sz w:val="24"/>
        </w:rPr>
        <w:t>crescita economica in leggero rialzo rispetto alle previsioni precedenti e segnali di vivacità per Eurozona e Stati Uniti.</w:t>
      </w:r>
    </w:p>
    <w:p w:rsidR="00463515" w:rsidRPr="00463515" w:rsidRDefault="00463515" w:rsidP="00463515">
      <w:pPr>
        <w:jc w:val="both"/>
        <w:rPr>
          <w:rFonts w:asciiTheme="minorHAnsi" w:hAnsiTheme="minorHAnsi" w:cs="Tahoma"/>
          <w:sz w:val="24"/>
        </w:rPr>
      </w:pPr>
    </w:p>
    <w:p w:rsidR="00463515" w:rsidRPr="00463515" w:rsidRDefault="00463515" w:rsidP="00463515">
      <w:pPr>
        <w:jc w:val="both"/>
        <w:rPr>
          <w:rFonts w:asciiTheme="minorHAnsi" w:hAnsiTheme="minorHAnsi" w:cs="Tahoma"/>
          <w:sz w:val="24"/>
        </w:rPr>
      </w:pPr>
      <w:r w:rsidRPr="00463515">
        <w:rPr>
          <w:rFonts w:asciiTheme="minorHAnsi" w:hAnsiTheme="minorHAnsi" w:cs="Tahoma"/>
          <w:sz w:val="24"/>
        </w:rPr>
        <w:t xml:space="preserve">L’Area Euro </w:t>
      </w:r>
      <w:r w:rsidR="00C77AB0">
        <w:rPr>
          <w:rFonts w:asciiTheme="minorHAnsi" w:hAnsiTheme="minorHAnsi" w:cs="Tahoma"/>
          <w:sz w:val="24"/>
        </w:rPr>
        <w:t>ha chiuso</w:t>
      </w:r>
      <w:r w:rsidRPr="00463515">
        <w:rPr>
          <w:rFonts w:asciiTheme="minorHAnsi" w:hAnsiTheme="minorHAnsi" w:cs="Tahoma"/>
          <w:sz w:val="24"/>
        </w:rPr>
        <w:t xml:space="preserve"> il 2017 con la crescita annua più alta dell’ultimo decennio, negli USA la disoccupazione è </w:t>
      </w:r>
      <w:r w:rsidR="00C77AB0">
        <w:rPr>
          <w:rFonts w:asciiTheme="minorHAnsi" w:hAnsiTheme="minorHAnsi" w:cs="Tahoma"/>
          <w:sz w:val="24"/>
        </w:rPr>
        <w:t xml:space="preserve">stata </w:t>
      </w:r>
      <w:r w:rsidRPr="00463515">
        <w:rPr>
          <w:rFonts w:asciiTheme="minorHAnsi" w:hAnsiTheme="minorHAnsi" w:cs="Tahoma"/>
          <w:sz w:val="24"/>
        </w:rPr>
        <w:t>la più bassa dal 2000, in Giappone la ripresa si è consolidata ed estesa a tutte le</w:t>
      </w:r>
      <w:r w:rsidR="00C77AB0">
        <w:rPr>
          <w:rFonts w:asciiTheme="minorHAnsi" w:hAnsiTheme="minorHAnsi" w:cs="Tahoma"/>
          <w:sz w:val="24"/>
        </w:rPr>
        <w:t xml:space="preserve"> </w:t>
      </w:r>
      <w:r w:rsidRPr="00463515">
        <w:rPr>
          <w:rFonts w:asciiTheme="minorHAnsi" w:hAnsiTheme="minorHAnsi" w:cs="Tahoma"/>
          <w:sz w:val="24"/>
        </w:rPr>
        <w:t xml:space="preserve">componenti della domanda. Nei </w:t>
      </w:r>
      <w:proofErr w:type="spellStart"/>
      <w:r w:rsidRPr="00463515">
        <w:rPr>
          <w:rFonts w:asciiTheme="minorHAnsi" w:hAnsiTheme="minorHAnsi" w:cs="Tahoma"/>
          <w:sz w:val="24"/>
        </w:rPr>
        <w:t>BRICs</w:t>
      </w:r>
      <w:proofErr w:type="spellEnd"/>
      <w:r w:rsidRPr="00463515">
        <w:rPr>
          <w:rFonts w:asciiTheme="minorHAnsi" w:hAnsiTheme="minorHAnsi" w:cs="Tahoma"/>
          <w:sz w:val="24"/>
        </w:rPr>
        <w:t xml:space="preserve"> l’export e l’aumento dei prezzi delle materie prime </w:t>
      </w:r>
      <w:r w:rsidR="00C77AB0">
        <w:rPr>
          <w:rFonts w:asciiTheme="minorHAnsi" w:hAnsiTheme="minorHAnsi" w:cs="Tahoma"/>
          <w:sz w:val="24"/>
        </w:rPr>
        <w:t xml:space="preserve">hanno </w:t>
      </w:r>
      <w:r w:rsidRPr="00463515">
        <w:rPr>
          <w:rFonts w:asciiTheme="minorHAnsi" w:hAnsiTheme="minorHAnsi" w:cs="Tahoma"/>
          <w:sz w:val="24"/>
        </w:rPr>
        <w:t>traina</w:t>
      </w:r>
      <w:r w:rsidR="00C77AB0">
        <w:rPr>
          <w:rFonts w:asciiTheme="minorHAnsi" w:hAnsiTheme="minorHAnsi" w:cs="Tahoma"/>
          <w:sz w:val="24"/>
        </w:rPr>
        <w:t xml:space="preserve">to </w:t>
      </w:r>
      <w:r w:rsidRPr="00463515">
        <w:rPr>
          <w:rFonts w:asciiTheme="minorHAnsi" w:hAnsiTheme="minorHAnsi" w:cs="Tahoma"/>
          <w:sz w:val="24"/>
        </w:rPr>
        <w:t>la crescita</w:t>
      </w:r>
      <w:r w:rsidR="00C77AB0">
        <w:rPr>
          <w:rFonts w:asciiTheme="minorHAnsi" w:hAnsiTheme="minorHAnsi" w:cs="Tahoma"/>
          <w:sz w:val="24"/>
        </w:rPr>
        <w:t xml:space="preserve">, in Cina </w:t>
      </w:r>
      <w:r w:rsidRPr="00463515">
        <w:rPr>
          <w:rFonts w:asciiTheme="minorHAnsi" w:hAnsiTheme="minorHAnsi" w:cs="Tahoma"/>
          <w:sz w:val="24"/>
        </w:rPr>
        <w:t xml:space="preserve">anche la domanda interna. </w:t>
      </w:r>
    </w:p>
    <w:p w:rsidR="00463515" w:rsidRPr="00463515" w:rsidRDefault="00463515" w:rsidP="00463515">
      <w:pPr>
        <w:jc w:val="both"/>
        <w:rPr>
          <w:rFonts w:asciiTheme="minorHAnsi" w:hAnsiTheme="minorHAnsi" w:cs="Tahoma"/>
          <w:sz w:val="24"/>
        </w:rPr>
      </w:pPr>
    </w:p>
    <w:p w:rsidR="00463515" w:rsidRPr="00463515" w:rsidRDefault="00463515" w:rsidP="00463515">
      <w:pPr>
        <w:jc w:val="both"/>
        <w:rPr>
          <w:rFonts w:asciiTheme="minorHAnsi" w:hAnsiTheme="minorHAnsi" w:cs="Tahoma"/>
          <w:sz w:val="24"/>
        </w:rPr>
      </w:pPr>
      <w:r w:rsidRPr="00463515">
        <w:rPr>
          <w:rFonts w:asciiTheme="minorHAnsi" w:hAnsiTheme="minorHAnsi" w:cs="Tahoma"/>
          <w:sz w:val="24"/>
        </w:rPr>
        <w:t xml:space="preserve">Due elementi in particolare gettano però ombre su questo quadro congiunturale positivo. </w:t>
      </w:r>
    </w:p>
    <w:p w:rsidR="00463515" w:rsidRPr="00463515" w:rsidRDefault="00463515" w:rsidP="00463515">
      <w:pPr>
        <w:jc w:val="both"/>
        <w:rPr>
          <w:rFonts w:asciiTheme="minorHAnsi" w:hAnsiTheme="minorHAnsi" w:cs="Tahoma"/>
          <w:sz w:val="24"/>
        </w:rPr>
      </w:pPr>
      <w:r w:rsidRPr="00463515">
        <w:rPr>
          <w:rFonts w:asciiTheme="minorHAnsi" w:hAnsiTheme="minorHAnsi" w:cs="Tahoma"/>
          <w:sz w:val="24"/>
        </w:rPr>
        <w:t>Il primo è l’incertezza politica su entrambe le sponde dell’Atlantico</w:t>
      </w:r>
      <w:r w:rsidR="004539C5">
        <w:rPr>
          <w:rFonts w:asciiTheme="minorHAnsi" w:hAnsiTheme="minorHAnsi" w:cs="Tahoma"/>
          <w:sz w:val="24"/>
        </w:rPr>
        <w:t>, i</w:t>
      </w:r>
      <w:r w:rsidRPr="00463515">
        <w:rPr>
          <w:rFonts w:asciiTheme="minorHAnsi" w:hAnsiTheme="minorHAnsi" w:cs="Tahoma"/>
          <w:sz w:val="24"/>
        </w:rPr>
        <w:t xml:space="preserve">l secondo rischio è la turbolenza nei mercati finanziari. </w:t>
      </w:r>
    </w:p>
    <w:p w:rsidR="00463515" w:rsidRPr="00463515" w:rsidRDefault="00463515" w:rsidP="00463515">
      <w:pPr>
        <w:jc w:val="both"/>
        <w:rPr>
          <w:rFonts w:asciiTheme="minorHAnsi" w:hAnsiTheme="minorHAnsi" w:cs="Tahoma"/>
          <w:sz w:val="24"/>
        </w:rPr>
      </w:pPr>
    </w:p>
    <w:p w:rsidR="0074375C" w:rsidRDefault="00463515" w:rsidP="0074375C">
      <w:pPr>
        <w:jc w:val="both"/>
        <w:rPr>
          <w:rFonts w:asciiTheme="minorHAnsi" w:hAnsiTheme="minorHAnsi" w:cs="Tahoma"/>
          <w:sz w:val="24"/>
        </w:rPr>
      </w:pPr>
      <w:r w:rsidRPr="00463515">
        <w:rPr>
          <w:rFonts w:asciiTheme="minorHAnsi" w:hAnsiTheme="minorHAnsi" w:cs="Tahoma"/>
          <w:sz w:val="24"/>
        </w:rPr>
        <w:t>Per l’Italia gli indicatori disponibili sono coerenti con una variazione del PIL dell’1,5% nel 2017 con un probabile e leggero rialzo delle stime per il 2018</w:t>
      </w:r>
      <w:r w:rsidR="0074375C">
        <w:rPr>
          <w:rFonts w:asciiTheme="minorHAnsi" w:hAnsiTheme="minorHAnsi" w:cs="Tahoma"/>
          <w:sz w:val="24"/>
        </w:rPr>
        <w:t xml:space="preserve">, sebbene l’ultimo quadrimestre del 2017 abbia segnato una </w:t>
      </w:r>
      <w:r w:rsidR="0074375C" w:rsidRPr="0074375C">
        <w:rPr>
          <w:rFonts w:asciiTheme="minorHAnsi" w:hAnsiTheme="minorHAnsi" w:cs="Tahoma"/>
          <w:sz w:val="24"/>
        </w:rPr>
        <w:t>dinamica sotto le attese della</w:t>
      </w:r>
      <w:r w:rsidR="0074375C">
        <w:rPr>
          <w:rFonts w:asciiTheme="minorHAnsi" w:hAnsiTheme="minorHAnsi" w:cs="Tahoma"/>
          <w:sz w:val="24"/>
        </w:rPr>
        <w:t xml:space="preserve"> p</w:t>
      </w:r>
      <w:r w:rsidR="0074375C" w:rsidRPr="0074375C">
        <w:rPr>
          <w:rFonts w:asciiTheme="minorHAnsi" w:hAnsiTheme="minorHAnsi" w:cs="Tahoma"/>
          <w:sz w:val="24"/>
        </w:rPr>
        <w:t>roduzione industriale</w:t>
      </w:r>
      <w:r w:rsidRPr="00463515">
        <w:rPr>
          <w:rFonts w:asciiTheme="minorHAnsi" w:hAnsiTheme="minorHAnsi" w:cs="Tahoma"/>
          <w:sz w:val="24"/>
        </w:rPr>
        <w:t>.</w:t>
      </w:r>
    </w:p>
    <w:p w:rsidR="002D5E67" w:rsidRDefault="0074375C" w:rsidP="00463515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S</w:t>
      </w:r>
      <w:r w:rsidR="00463515" w:rsidRPr="00463515">
        <w:rPr>
          <w:rFonts w:asciiTheme="minorHAnsi" w:hAnsiTheme="minorHAnsi" w:cs="Tahoma"/>
          <w:sz w:val="24"/>
        </w:rPr>
        <w:t xml:space="preserve">aranno </w:t>
      </w:r>
      <w:r>
        <w:rPr>
          <w:rFonts w:asciiTheme="minorHAnsi" w:hAnsiTheme="minorHAnsi" w:cs="Tahoma"/>
          <w:sz w:val="24"/>
        </w:rPr>
        <w:t xml:space="preserve">comunque </w:t>
      </w:r>
      <w:r w:rsidR="00463515" w:rsidRPr="00463515">
        <w:rPr>
          <w:rFonts w:asciiTheme="minorHAnsi" w:hAnsiTheme="minorHAnsi" w:cs="Tahoma"/>
          <w:sz w:val="24"/>
        </w:rPr>
        <w:t xml:space="preserve">decisive le scelte fatte dopo il voto politico per </w:t>
      </w:r>
      <w:r w:rsidR="00CC24D5">
        <w:rPr>
          <w:rFonts w:asciiTheme="minorHAnsi" w:hAnsiTheme="minorHAnsi" w:cs="Tahoma"/>
          <w:sz w:val="24"/>
        </w:rPr>
        <w:t xml:space="preserve">cercare di </w:t>
      </w:r>
      <w:r w:rsidR="00463515" w:rsidRPr="00463515">
        <w:rPr>
          <w:rFonts w:asciiTheme="minorHAnsi" w:hAnsiTheme="minorHAnsi" w:cs="Tahoma"/>
          <w:sz w:val="24"/>
        </w:rPr>
        <w:t>chiudere il divario di crescita italiano con il resto dell’Area Euro.</w:t>
      </w:r>
    </w:p>
    <w:p w:rsidR="0074375C" w:rsidRDefault="0074375C" w:rsidP="00192469">
      <w:pPr>
        <w:jc w:val="both"/>
        <w:rPr>
          <w:rFonts w:asciiTheme="minorHAnsi" w:hAnsiTheme="minorHAnsi" w:cs="Tahoma"/>
          <w:sz w:val="24"/>
        </w:rPr>
      </w:pPr>
    </w:p>
    <w:p w:rsidR="00292E4B" w:rsidRDefault="00292E4B" w:rsidP="00192469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Questo quadro generale </w:t>
      </w:r>
      <w:r w:rsidR="00DA0E71">
        <w:rPr>
          <w:rFonts w:asciiTheme="minorHAnsi" w:hAnsiTheme="minorHAnsi" w:cs="Tahoma"/>
          <w:sz w:val="24"/>
        </w:rPr>
        <w:t xml:space="preserve">si è riflesso </w:t>
      </w:r>
      <w:r>
        <w:rPr>
          <w:rFonts w:asciiTheme="minorHAnsi" w:hAnsiTheme="minorHAnsi" w:cs="Tahoma"/>
          <w:sz w:val="24"/>
        </w:rPr>
        <w:t xml:space="preserve">anche sui </w:t>
      </w:r>
      <w:r w:rsidRPr="00292E4B">
        <w:rPr>
          <w:rFonts w:asciiTheme="minorHAnsi" w:hAnsiTheme="minorHAnsi" w:cs="Tahoma"/>
          <w:b/>
          <w:sz w:val="24"/>
        </w:rPr>
        <w:t>risultati dell’occhialeria italiana</w:t>
      </w:r>
      <w:r w:rsidRPr="00292E4B">
        <w:rPr>
          <w:rFonts w:asciiTheme="minorHAnsi" w:hAnsiTheme="minorHAnsi" w:cs="Tahoma"/>
          <w:sz w:val="24"/>
        </w:rPr>
        <w:t xml:space="preserve">. </w:t>
      </w:r>
    </w:p>
    <w:p w:rsidR="00A86B03" w:rsidRDefault="00A86B03" w:rsidP="00192469">
      <w:pPr>
        <w:jc w:val="both"/>
        <w:rPr>
          <w:rFonts w:asciiTheme="minorHAnsi" w:hAnsiTheme="minorHAnsi" w:cs="Tahoma"/>
          <w:sz w:val="24"/>
        </w:rPr>
      </w:pPr>
    </w:p>
    <w:p w:rsidR="0074375C" w:rsidRPr="0074375C" w:rsidRDefault="00DA0E71" w:rsidP="0074375C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A livello di esportazioni</w:t>
      </w:r>
      <w:r w:rsidR="00CC24D5">
        <w:rPr>
          <w:rFonts w:asciiTheme="minorHAnsi" w:hAnsiTheme="minorHAnsi" w:cs="Tahoma"/>
          <w:sz w:val="24"/>
        </w:rPr>
        <w:t>,</w:t>
      </w:r>
      <w:r>
        <w:rPr>
          <w:rFonts w:asciiTheme="minorHAnsi" w:hAnsiTheme="minorHAnsi" w:cs="Tahoma"/>
          <w:sz w:val="24"/>
        </w:rPr>
        <w:t xml:space="preserve"> </w:t>
      </w:r>
      <w:r w:rsidR="00EE2445">
        <w:rPr>
          <w:rFonts w:asciiTheme="minorHAnsi" w:hAnsiTheme="minorHAnsi" w:cs="Tahoma"/>
          <w:sz w:val="24"/>
        </w:rPr>
        <w:t xml:space="preserve">il 2017 è stato </w:t>
      </w:r>
      <w:r w:rsidR="0074375C" w:rsidRPr="0074375C">
        <w:rPr>
          <w:rFonts w:asciiTheme="minorHAnsi" w:hAnsiTheme="minorHAnsi" w:cs="Tahoma"/>
          <w:sz w:val="24"/>
        </w:rPr>
        <w:t>un</w:t>
      </w:r>
      <w:r w:rsidR="00EE2445">
        <w:rPr>
          <w:rFonts w:asciiTheme="minorHAnsi" w:hAnsiTheme="minorHAnsi" w:cs="Tahoma"/>
          <w:sz w:val="24"/>
        </w:rPr>
        <w:t xml:space="preserve"> altro anno di quella che abbiamo definito </w:t>
      </w:r>
      <w:r w:rsidR="0074375C" w:rsidRPr="0074375C">
        <w:rPr>
          <w:rFonts w:asciiTheme="minorHAnsi" w:hAnsiTheme="minorHAnsi" w:cs="Tahoma"/>
          <w:sz w:val="24"/>
        </w:rPr>
        <w:t>“crescita normale”</w:t>
      </w:r>
      <w:r w:rsidR="00EE2445">
        <w:rPr>
          <w:rFonts w:asciiTheme="minorHAnsi" w:hAnsiTheme="minorHAnsi" w:cs="Tahoma"/>
          <w:sz w:val="24"/>
        </w:rPr>
        <w:t>,</w:t>
      </w:r>
      <w:r w:rsidR="0074375C" w:rsidRPr="0074375C">
        <w:rPr>
          <w:rFonts w:asciiTheme="minorHAnsi" w:hAnsiTheme="minorHAnsi" w:cs="Tahoma"/>
          <w:sz w:val="24"/>
        </w:rPr>
        <w:t xml:space="preserve"> allineata con una dimensione più vicina ai nuovi paradigmi generali post crisi.</w:t>
      </w:r>
    </w:p>
    <w:p w:rsidR="0074375C" w:rsidRPr="0074375C" w:rsidRDefault="0074375C" w:rsidP="0074375C">
      <w:pPr>
        <w:jc w:val="both"/>
        <w:rPr>
          <w:rFonts w:asciiTheme="minorHAnsi" w:hAnsiTheme="minorHAnsi" w:cs="Tahoma"/>
          <w:sz w:val="24"/>
        </w:rPr>
      </w:pPr>
    </w:p>
    <w:p w:rsidR="00292E4B" w:rsidRDefault="0074375C" w:rsidP="0074375C">
      <w:pPr>
        <w:jc w:val="both"/>
        <w:rPr>
          <w:rFonts w:asciiTheme="minorHAnsi" w:hAnsiTheme="minorHAnsi" w:cs="Tahoma"/>
          <w:sz w:val="24"/>
        </w:rPr>
      </w:pPr>
      <w:r w:rsidRPr="0074375C">
        <w:rPr>
          <w:rFonts w:asciiTheme="minorHAnsi" w:hAnsiTheme="minorHAnsi" w:cs="Tahoma"/>
          <w:sz w:val="24"/>
        </w:rPr>
        <w:t>È bene ricordare che ante-crisi, fino al 2007, il PIL mondiale aumentava del 3,2% annuo, mentre gli scambi di beni del 6,8%, oggi i tassi di entrambi sono inferiori.</w:t>
      </w:r>
      <w:r w:rsidR="00292E4B">
        <w:rPr>
          <w:rFonts w:asciiTheme="minorHAnsi" w:hAnsiTheme="minorHAnsi" w:cs="Tahoma"/>
          <w:sz w:val="24"/>
        </w:rPr>
        <w:t xml:space="preserve">    </w:t>
      </w:r>
    </w:p>
    <w:p w:rsidR="00292E4B" w:rsidRDefault="00292E4B" w:rsidP="00192469">
      <w:pPr>
        <w:jc w:val="both"/>
        <w:rPr>
          <w:rFonts w:asciiTheme="minorHAnsi" w:hAnsiTheme="minorHAnsi" w:cs="Tahoma"/>
          <w:sz w:val="24"/>
        </w:rPr>
      </w:pPr>
    </w:p>
    <w:p w:rsidR="00EE2445" w:rsidRDefault="00EE2445" w:rsidP="00192469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Sul mercato interno</w:t>
      </w:r>
      <w:r w:rsidR="00CC24D5">
        <w:rPr>
          <w:rFonts w:asciiTheme="minorHAnsi" w:hAnsiTheme="minorHAnsi" w:cs="Tahoma"/>
          <w:sz w:val="24"/>
        </w:rPr>
        <w:t>,</w:t>
      </w:r>
      <w:r>
        <w:rPr>
          <w:rFonts w:asciiTheme="minorHAnsi" w:hAnsiTheme="minorHAnsi" w:cs="Tahoma"/>
          <w:sz w:val="24"/>
        </w:rPr>
        <w:t xml:space="preserve"> invece</w:t>
      </w:r>
      <w:r w:rsidR="00CC24D5">
        <w:rPr>
          <w:rFonts w:asciiTheme="minorHAnsi" w:hAnsiTheme="minorHAnsi" w:cs="Tahoma"/>
          <w:sz w:val="24"/>
        </w:rPr>
        <w:t>,</w:t>
      </w:r>
      <w:r>
        <w:rPr>
          <w:rFonts w:asciiTheme="minorHAnsi" w:hAnsiTheme="minorHAnsi" w:cs="Tahoma"/>
          <w:sz w:val="24"/>
        </w:rPr>
        <w:t xml:space="preserve"> l’abbrivi</w:t>
      </w:r>
      <w:r w:rsidR="00CC24D5">
        <w:rPr>
          <w:rFonts w:asciiTheme="minorHAnsi" w:hAnsiTheme="minorHAnsi" w:cs="Tahoma"/>
          <w:sz w:val="24"/>
        </w:rPr>
        <w:t>o che sembra aver ritrovato il P</w:t>
      </w:r>
      <w:r>
        <w:rPr>
          <w:rFonts w:asciiTheme="minorHAnsi" w:hAnsiTheme="minorHAnsi" w:cs="Tahoma"/>
          <w:sz w:val="24"/>
        </w:rPr>
        <w:t>aese non si è registrato per il settore, i consumi restano asfittici e complessivamente si è chiuso in leggera flessione.</w:t>
      </w:r>
    </w:p>
    <w:p w:rsidR="00CC24D5" w:rsidRDefault="00CC24D5" w:rsidP="00C776A9">
      <w:pPr>
        <w:jc w:val="both"/>
        <w:rPr>
          <w:rFonts w:asciiTheme="minorHAnsi" w:hAnsiTheme="minorHAnsi" w:cs="Tahoma"/>
          <w:b/>
          <w:caps/>
          <w:sz w:val="24"/>
        </w:rPr>
      </w:pPr>
    </w:p>
    <w:p w:rsidR="00836B43" w:rsidRPr="0049001B" w:rsidRDefault="000B7DC5" w:rsidP="00C776A9">
      <w:pPr>
        <w:jc w:val="both"/>
        <w:rPr>
          <w:rFonts w:asciiTheme="minorHAnsi" w:hAnsiTheme="minorHAnsi" w:cs="Tahoma"/>
          <w:b/>
          <w:caps/>
          <w:sz w:val="24"/>
        </w:rPr>
      </w:pPr>
      <w:r w:rsidRPr="0049001B">
        <w:rPr>
          <w:rFonts w:asciiTheme="minorHAnsi" w:hAnsiTheme="minorHAnsi" w:cs="Tahoma"/>
          <w:b/>
          <w:caps/>
          <w:sz w:val="24"/>
        </w:rPr>
        <w:lastRenderedPageBreak/>
        <w:t>produzione, aziende e occupati</w:t>
      </w:r>
    </w:p>
    <w:p w:rsidR="00836B43" w:rsidRPr="0049001B" w:rsidRDefault="00836B43" w:rsidP="00C776A9">
      <w:pPr>
        <w:jc w:val="both"/>
        <w:rPr>
          <w:rFonts w:asciiTheme="minorHAnsi" w:hAnsiTheme="minorHAnsi" w:cs="Tahoma"/>
          <w:sz w:val="24"/>
        </w:rPr>
      </w:pPr>
    </w:p>
    <w:p w:rsidR="006C2B2E" w:rsidRPr="0049001B" w:rsidRDefault="00C776A9" w:rsidP="00C776A9">
      <w:pPr>
        <w:jc w:val="both"/>
        <w:rPr>
          <w:rFonts w:asciiTheme="minorHAnsi" w:hAnsiTheme="minorHAnsi" w:cs="Tahoma"/>
          <w:sz w:val="24"/>
        </w:rPr>
      </w:pPr>
      <w:r w:rsidRPr="0049001B">
        <w:rPr>
          <w:rFonts w:asciiTheme="minorHAnsi" w:hAnsiTheme="minorHAnsi" w:cs="Tahoma"/>
          <w:sz w:val="24"/>
        </w:rPr>
        <w:t xml:space="preserve">La </w:t>
      </w:r>
      <w:r w:rsidRPr="0049001B">
        <w:rPr>
          <w:rFonts w:asciiTheme="minorHAnsi" w:hAnsiTheme="minorHAnsi" w:cs="Tahoma"/>
          <w:b/>
          <w:sz w:val="24"/>
        </w:rPr>
        <w:t>produzione</w:t>
      </w:r>
      <w:r w:rsidRPr="0049001B">
        <w:rPr>
          <w:rFonts w:asciiTheme="minorHAnsi" w:hAnsiTheme="minorHAnsi" w:cs="Tahoma"/>
          <w:sz w:val="24"/>
        </w:rPr>
        <w:t xml:space="preserve"> dell’occhialeria italiana nel 20</w:t>
      </w:r>
      <w:r w:rsidR="008D6DA8" w:rsidRPr="0049001B">
        <w:rPr>
          <w:rFonts w:asciiTheme="minorHAnsi" w:hAnsiTheme="minorHAnsi" w:cs="Tahoma"/>
          <w:sz w:val="24"/>
        </w:rPr>
        <w:t>1</w:t>
      </w:r>
      <w:r w:rsidR="00EA3485">
        <w:rPr>
          <w:rFonts w:asciiTheme="minorHAnsi" w:hAnsiTheme="minorHAnsi" w:cs="Tahoma"/>
          <w:sz w:val="24"/>
        </w:rPr>
        <w:t>7</w:t>
      </w:r>
      <w:r w:rsidRPr="0049001B">
        <w:rPr>
          <w:rFonts w:asciiTheme="minorHAnsi" w:hAnsiTheme="minorHAnsi" w:cs="Tahoma"/>
          <w:sz w:val="24"/>
        </w:rPr>
        <w:t xml:space="preserve"> è stata di </w:t>
      </w:r>
      <w:r w:rsidR="00572449">
        <w:rPr>
          <w:rFonts w:asciiTheme="minorHAnsi" w:hAnsiTheme="minorHAnsi" w:cs="Tahoma"/>
          <w:b/>
          <w:sz w:val="24"/>
        </w:rPr>
        <w:t>3</w:t>
      </w:r>
      <w:r w:rsidRPr="0049001B">
        <w:rPr>
          <w:rFonts w:asciiTheme="minorHAnsi" w:hAnsiTheme="minorHAnsi" w:cs="Tahoma"/>
          <w:b/>
          <w:sz w:val="24"/>
        </w:rPr>
        <w:t>.</w:t>
      </w:r>
      <w:r w:rsidR="00EA3485">
        <w:rPr>
          <w:rFonts w:asciiTheme="minorHAnsi" w:hAnsiTheme="minorHAnsi" w:cs="Tahoma"/>
          <w:b/>
          <w:sz w:val="24"/>
        </w:rPr>
        <w:t xml:space="preserve">805 </w:t>
      </w:r>
      <w:r w:rsidRPr="0049001B">
        <w:rPr>
          <w:rFonts w:asciiTheme="minorHAnsi" w:hAnsiTheme="minorHAnsi" w:cs="Tahoma"/>
          <w:b/>
          <w:sz w:val="24"/>
        </w:rPr>
        <w:t>milioni di Euro</w:t>
      </w:r>
      <w:r w:rsidR="00415C60" w:rsidRPr="00415C60">
        <w:rPr>
          <w:rFonts w:asciiTheme="minorHAnsi" w:hAnsiTheme="minorHAnsi" w:cs="Tahoma"/>
          <w:sz w:val="24"/>
        </w:rPr>
        <w:t>, in crescita del</w:t>
      </w:r>
      <w:r w:rsidR="00415C60">
        <w:rPr>
          <w:rFonts w:asciiTheme="minorHAnsi" w:hAnsiTheme="minorHAnsi" w:cs="Tahoma"/>
          <w:b/>
          <w:sz w:val="24"/>
        </w:rPr>
        <w:t xml:space="preserve"> </w:t>
      </w:r>
      <w:r w:rsidR="00EA3485">
        <w:rPr>
          <w:rFonts w:asciiTheme="minorHAnsi" w:hAnsiTheme="minorHAnsi" w:cs="Tahoma"/>
          <w:b/>
          <w:sz w:val="24"/>
        </w:rPr>
        <w:t>2</w:t>
      </w:r>
      <w:r w:rsidR="005A2B50">
        <w:rPr>
          <w:rFonts w:asciiTheme="minorHAnsi" w:hAnsiTheme="minorHAnsi" w:cs="Tahoma"/>
          <w:b/>
          <w:sz w:val="24"/>
        </w:rPr>
        <w:t>,</w:t>
      </w:r>
      <w:r w:rsidR="00EA3485">
        <w:rPr>
          <w:rFonts w:asciiTheme="minorHAnsi" w:hAnsiTheme="minorHAnsi" w:cs="Tahoma"/>
          <w:b/>
          <w:sz w:val="24"/>
        </w:rPr>
        <w:t>9</w:t>
      </w:r>
      <w:r w:rsidRPr="008A56E3">
        <w:rPr>
          <w:rFonts w:asciiTheme="minorHAnsi" w:hAnsiTheme="minorHAnsi" w:cs="Tahoma"/>
          <w:sz w:val="24"/>
        </w:rPr>
        <w:t>%</w:t>
      </w:r>
      <w:r w:rsidRPr="0049001B">
        <w:rPr>
          <w:rFonts w:asciiTheme="minorHAnsi" w:hAnsiTheme="minorHAnsi" w:cs="Tahoma"/>
          <w:sz w:val="24"/>
        </w:rPr>
        <w:t xml:space="preserve"> rispetto al</w:t>
      </w:r>
      <w:r w:rsidR="00415C60">
        <w:rPr>
          <w:rFonts w:asciiTheme="minorHAnsi" w:hAnsiTheme="minorHAnsi" w:cs="Tahoma"/>
          <w:sz w:val="24"/>
        </w:rPr>
        <w:t xml:space="preserve"> 201</w:t>
      </w:r>
      <w:r w:rsidR="00EA3485">
        <w:rPr>
          <w:rFonts w:asciiTheme="minorHAnsi" w:hAnsiTheme="minorHAnsi" w:cs="Tahoma"/>
          <w:sz w:val="24"/>
        </w:rPr>
        <w:t>6</w:t>
      </w:r>
      <w:r w:rsidRPr="0049001B">
        <w:rPr>
          <w:rFonts w:asciiTheme="minorHAnsi" w:hAnsiTheme="minorHAnsi" w:cs="Tahoma"/>
          <w:sz w:val="24"/>
        </w:rPr>
        <w:t xml:space="preserve">. </w:t>
      </w:r>
    </w:p>
    <w:p w:rsidR="006C2B2E" w:rsidRPr="0049001B" w:rsidRDefault="00EA3485" w:rsidP="006C2B2E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Sebbene l</w:t>
      </w:r>
      <w:r w:rsidR="00157EAB">
        <w:rPr>
          <w:rFonts w:asciiTheme="minorHAnsi" w:hAnsiTheme="minorHAnsi" w:cs="Tahoma"/>
          <w:sz w:val="24"/>
        </w:rPr>
        <w:t xml:space="preserve">’aumento della produzione </w:t>
      </w:r>
      <w:r>
        <w:rPr>
          <w:rFonts w:asciiTheme="minorHAnsi" w:hAnsiTheme="minorHAnsi" w:cs="Tahoma"/>
          <w:sz w:val="24"/>
        </w:rPr>
        <w:t xml:space="preserve">sia </w:t>
      </w:r>
      <w:r w:rsidR="00157EAB">
        <w:rPr>
          <w:rFonts w:asciiTheme="minorHAnsi" w:hAnsiTheme="minorHAnsi" w:cs="Tahoma"/>
          <w:sz w:val="24"/>
        </w:rPr>
        <w:t xml:space="preserve">tornato su livelli inferiori rispetto agli ultimi </w:t>
      </w:r>
      <w:r>
        <w:rPr>
          <w:rFonts w:asciiTheme="minorHAnsi" w:hAnsiTheme="minorHAnsi" w:cs="Tahoma"/>
          <w:sz w:val="24"/>
        </w:rPr>
        <w:t>tre</w:t>
      </w:r>
      <w:r w:rsidR="00157EAB">
        <w:rPr>
          <w:rFonts w:asciiTheme="minorHAnsi" w:hAnsiTheme="minorHAnsi" w:cs="Tahoma"/>
          <w:sz w:val="24"/>
        </w:rPr>
        <w:t xml:space="preserve"> anni per il ridimensionamento </w:t>
      </w:r>
      <w:r w:rsidR="008518F0">
        <w:rPr>
          <w:rFonts w:asciiTheme="minorHAnsi" w:hAnsiTheme="minorHAnsi" w:cs="Tahoma"/>
          <w:sz w:val="24"/>
        </w:rPr>
        <w:t>n</w:t>
      </w:r>
      <w:r w:rsidR="00157EAB">
        <w:rPr>
          <w:rFonts w:asciiTheme="minorHAnsi" w:hAnsiTheme="minorHAnsi" w:cs="Tahoma"/>
          <w:sz w:val="24"/>
        </w:rPr>
        <w:t xml:space="preserve">ella crescita dell’export e per </w:t>
      </w:r>
      <w:r w:rsidR="008518F0">
        <w:rPr>
          <w:rFonts w:asciiTheme="minorHAnsi" w:hAnsiTheme="minorHAnsi" w:cs="Tahoma"/>
          <w:sz w:val="24"/>
        </w:rPr>
        <w:t xml:space="preserve">lo scarso slancio nel </w:t>
      </w:r>
      <w:r w:rsidR="005A2B50">
        <w:rPr>
          <w:rFonts w:asciiTheme="minorHAnsi" w:hAnsiTheme="minorHAnsi" w:cs="Tahoma"/>
          <w:sz w:val="24"/>
        </w:rPr>
        <w:t>mercato interno</w:t>
      </w:r>
      <w:r>
        <w:rPr>
          <w:rFonts w:asciiTheme="minorHAnsi" w:hAnsiTheme="minorHAnsi" w:cs="Tahoma"/>
          <w:sz w:val="24"/>
        </w:rPr>
        <w:t xml:space="preserve">, è bene notare che il settore cresce comunque più del </w:t>
      </w:r>
      <w:r w:rsidR="00ED5564">
        <w:rPr>
          <w:rFonts w:asciiTheme="minorHAnsi" w:hAnsiTheme="minorHAnsi" w:cs="Tahoma"/>
          <w:sz w:val="24"/>
        </w:rPr>
        <w:t>P</w:t>
      </w:r>
      <w:r>
        <w:rPr>
          <w:rFonts w:asciiTheme="minorHAnsi" w:hAnsiTheme="minorHAnsi" w:cs="Tahoma"/>
          <w:sz w:val="24"/>
        </w:rPr>
        <w:t>aese</w:t>
      </w:r>
      <w:r w:rsidR="006C2B2E" w:rsidRPr="0049001B">
        <w:rPr>
          <w:rFonts w:asciiTheme="minorHAnsi" w:hAnsiTheme="minorHAnsi" w:cs="Tahoma"/>
          <w:sz w:val="24"/>
        </w:rPr>
        <w:t>.</w:t>
      </w:r>
    </w:p>
    <w:p w:rsidR="008D6DA8" w:rsidRPr="0049001B" w:rsidRDefault="00C776A9" w:rsidP="00C776A9">
      <w:pPr>
        <w:jc w:val="both"/>
        <w:rPr>
          <w:rFonts w:asciiTheme="minorHAnsi" w:hAnsiTheme="minorHAnsi" w:cs="Tahoma"/>
          <w:sz w:val="24"/>
        </w:rPr>
      </w:pPr>
      <w:r w:rsidRPr="0049001B">
        <w:rPr>
          <w:rFonts w:asciiTheme="minorHAnsi" w:hAnsiTheme="minorHAnsi" w:cs="Tahoma"/>
          <w:sz w:val="24"/>
        </w:rPr>
        <w:t xml:space="preserve"> </w:t>
      </w:r>
    </w:p>
    <w:p w:rsidR="00C77611" w:rsidRDefault="00913910" w:rsidP="002C2D88">
      <w:pPr>
        <w:jc w:val="both"/>
        <w:rPr>
          <w:rFonts w:asciiTheme="minorHAnsi" w:hAnsiTheme="minorHAnsi" w:cs="Tahoma"/>
          <w:sz w:val="24"/>
        </w:rPr>
      </w:pPr>
      <w:r w:rsidRPr="0049001B">
        <w:rPr>
          <w:rFonts w:asciiTheme="minorHAnsi" w:hAnsiTheme="minorHAnsi" w:cs="Tahoma"/>
          <w:sz w:val="24"/>
        </w:rPr>
        <w:t xml:space="preserve">Il </w:t>
      </w:r>
      <w:r w:rsidR="00C77611">
        <w:rPr>
          <w:rFonts w:asciiTheme="minorHAnsi" w:hAnsiTheme="minorHAnsi" w:cs="Tahoma"/>
          <w:sz w:val="24"/>
        </w:rPr>
        <w:t xml:space="preserve">totale </w:t>
      </w:r>
      <w:r w:rsidRPr="0049001B">
        <w:rPr>
          <w:rFonts w:asciiTheme="minorHAnsi" w:hAnsiTheme="minorHAnsi" w:cs="Tahoma"/>
          <w:sz w:val="24"/>
        </w:rPr>
        <w:t xml:space="preserve">delle </w:t>
      </w:r>
      <w:r w:rsidRPr="0049001B">
        <w:rPr>
          <w:rFonts w:asciiTheme="minorHAnsi" w:hAnsiTheme="minorHAnsi" w:cs="Tahoma"/>
          <w:b/>
          <w:sz w:val="24"/>
        </w:rPr>
        <w:t>aziende</w:t>
      </w:r>
      <w:r w:rsidRPr="0049001B">
        <w:rPr>
          <w:rFonts w:asciiTheme="minorHAnsi" w:hAnsiTheme="minorHAnsi" w:cs="Tahoma"/>
          <w:sz w:val="24"/>
        </w:rPr>
        <w:t xml:space="preserve"> è </w:t>
      </w:r>
      <w:r w:rsidR="00833FEC">
        <w:rPr>
          <w:rFonts w:asciiTheme="minorHAnsi" w:hAnsiTheme="minorHAnsi" w:cs="Tahoma"/>
          <w:sz w:val="24"/>
        </w:rPr>
        <w:t xml:space="preserve">rimasto </w:t>
      </w:r>
      <w:r w:rsidR="005A2B50">
        <w:rPr>
          <w:rFonts w:asciiTheme="minorHAnsi" w:hAnsiTheme="minorHAnsi" w:cs="Tahoma"/>
          <w:sz w:val="24"/>
        </w:rPr>
        <w:t xml:space="preserve">sostanzialmente </w:t>
      </w:r>
      <w:r w:rsidR="00833FEC" w:rsidRPr="00833FEC">
        <w:rPr>
          <w:rFonts w:asciiTheme="minorHAnsi" w:hAnsiTheme="minorHAnsi" w:cs="Tahoma"/>
          <w:b/>
          <w:sz w:val="24"/>
        </w:rPr>
        <w:t>costante</w:t>
      </w:r>
      <w:r w:rsidR="00833FEC">
        <w:rPr>
          <w:rFonts w:asciiTheme="minorHAnsi" w:hAnsiTheme="minorHAnsi" w:cs="Tahoma"/>
          <w:sz w:val="24"/>
        </w:rPr>
        <w:t xml:space="preserve">, </w:t>
      </w:r>
      <w:r w:rsidR="00C77611">
        <w:rPr>
          <w:rFonts w:asciiTheme="minorHAnsi" w:hAnsiTheme="minorHAnsi" w:cs="Tahoma"/>
          <w:sz w:val="24"/>
        </w:rPr>
        <w:t xml:space="preserve">si contano </w:t>
      </w:r>
      <w:r w:rsidR="00C77611" w:rsidRPr="0049001B">
        <w:rPr>
          <w:rFonts w:asciiTheme="minorHAnsi" w:hAnsiTheme="minorHAnsi" w:cs="Tahoma"/>
          <w:b/>
          <w:sz w:val="24"/>
        </w:rPr>
        <w:t>8</w:t>
      </w:r>
      <w:r w:rsidR="005641EC">
        <w:rPr>
          <w:rFonts w:asciiTheme="minorHAnsi" w:hAnsiTheme="minorHAnsi" w:cs="Tahoma"/>
          <w:b/>
          <w:sz w:val="24"/>
        </w:rPr>
        <w:t>6</w:t>
      </w:r>
      <w:r w:rsidR="00EA3485">
        <w:rPr>
          <w:rFonts w:asciiTheme="minorHAnsi" w:hAnsiTheme="minorHAnsi" w:cs="Tahoma"/>
          <w:b/>
          <w:sz w:val="24"/>
        </w:rPr>
        <w:t>3</w:t>
      </w:r>
      <w:r w:rsidR="00C77611" w:rsidRPr="0049001B">
        <w:rPr>
          <w:rFonts w:asciiTheme="minorHAnsi" w:hAnsiTheme="minorHAnsi" w:cs="Tahoma"/>
          <w:b/>
          <w:sz w:val="24"/>
        </w:rPr>
        <w:t xml:space="preserve"> </w:t>
      </w:r>
      <w:r w:rsidR="00C77611">
        <w:rPr>
          <w:rFonts w:asciiTheme="minorHAnsi" w:hAnsiTheme="minorHAnsi" w:cs="Tahoma"/>
          <w:b/>
          <w:sz w:val="24"/>
        </w:rPr>
        <w:t>aziende</w:t>
      </w:r>
      <w:r w:rsidR="00C77611" w:rsidRPr="0049001B">
        <w:rPr>
          <w:rFonts w:asciiTheme="minorHAnsi" w:hAnsiTheme="minorHAnsi" w:cs="Tahoma"/>
          <w:sz w:val="24"/>
        </w:rPr>
        <w:t xml:space="preserve"> </w:t>
      </w:r>
      <w:r w:rsidR="005A2B50">
        <w:rPr>
          <w:rFonts w:asciiTheme="minorHAnsi" w:hAnsiTheme="minorHAnsi" w:cs="Tahoma"/>
          <w:sz w:val="24"/>
        </w:rPr>
        <w:t>a livello nazionale</w:t>
      </w:r>
      <w:r w:rsidR="00C77611">
        <w:rPr>
          <w:rFonts w:asciiTheme="minorHAnsi" w:hAnsiTheme="minorHAnsi" w:cs="Tahoma"/>
          <w:sz w:val="24"/>
        </w:rPr>
        <w:t>.</w:t>
      </w:r>
    </w:p>
    <w:p w:rsidR="00913910" w:rsidRPr="0049001B" w:rsidRDefault="00C77611" w:rsidP="002C2D88">
      <w:pPr>
        <w:jc w:val="both"/>
        <w:rPr>
          <w:rFonts w:asciiTheme="minorHAnsi" w:hAnsiTheme="minorHAnsi" w:cs="Tahoma"/>
          <w:sz w:val="24"/>
        </w:rPr>
      </w:pPr>
      <w:r w:rsidRPr="0049001B">
        <w:rPr>
          <w:rFonts w:asciiTheme="minorHAnsi" w:hAnsiTheme="minorHAnsi" w:cs="Tahoma"/>
          <w:sz w:val="24"/>
        </w:rPr>
        <w:t xml:space="preserve"> </w:t>
      </w:r>
    </w:p>
    <w:p w:rsidR="00410D2E" w:rsidRDefault="005641EC" w:rsidP="002C2D88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Anche </w:t>
      </w:r>
      <w:r w:rsidR="00EA3485">
        <w:rPr>
          <w:rFonts w:asciiTheme="minorHAnsi" w:hAnsiTheme="minorHAnsi" w:cs="Tahoma"/>
          <w:sz w:val="24"/>
        </w:rPr>
        <w:t xml:space="preserve">gli occupati sono rimasti stabili </w:t>
      </w:r>
      <w:r w:rsidRPr="005641EC">
        <w:rPr>
          <w:rFonts w:asciiTheme="minorHAnsi" w:hAnsiTheme="minorHAnsi" w:cs="Tahoma"/>
          <w:sz w:val="24"/>
        </w:rPr>
        <w:t>rispetto al 201</w:t>
      </w:r>
      <w:r w:rsidR="00EA3485">
        <w:rPr>
          <w:rFonts w:asciiTheme="minorHAnsi" w:hAnsiTheme="minorHAnsi" w:cs="Tahoma"/>
          <w:sz w:val="24"/>
        </w:rPr>
        <w:t>6</w:t>
      </w:r>
      <w:r>
        <w:rPr>
          <w:rFonts w:asciiTheme="minorHAnsi" w:hAnsiTheme="minorHAnsi" w:cs="Tahoma"/>
          <w:b/>
          <w:sz w:val="24"/>
        </w:rPr>
        <w:t xml:space="preserve">: </w:t>
      </w:r>
      <w:r>
        <w:rPr>
          <w:rFonts w:asciiTheme="minorHAnsi" w:hAnsiTheme="minorHAnsi" w:cs="Tahoma"/>
          <w:sz w:val="24"/>
        </w:rPr>
        <w:t>se</w:t>
      </w:r>
      <w:r w:rsidR="008C4469">
        <w:rPr>
          <w:rFonts w:asciiTheme="minorHAnsi" w:hAnsiTheme="minorHAnsi" w:cs="Tahoma"/>
          <w:sz w:val="24"/>
        </w:rPr>
        <w:t>nza considerare</w:t>
      </w:r>
      <w:r>
        <w:rPr>
          <w:rFonts w:asciiTheme="minorHAnsi" w:hAnsiTheme="minorHAnsi" w:cs="Tahoma"/>
          <w:sz w:val="24"/>
        </w:rPr>
        <w:t xml:space="preserve"> </w:t>
      </w:r>
      <w:r w:rsidR="008C4469">
        <w:rPr>
          <w:rFonts w:asciiTheme="minorHAnsi" w:hAnsiTheme="minorHAnsi" w:cs="Tahoma"/>
          <w:sz w:val="24"/>
        </w:rPr>
        <w:t>le forme contrattuali diverse</w:t>
      </w:r>
      <w:r w:rsidR="00ED5564">
        <w:rPr>
          <w:rFonts w:asciiTheme="minorHAnsi" w:hAnsiTheme="minorHAnsi" w:cs="Tahoma"/>
          <w:sz w:val="24"/>
        </w:rPr>
        <w:t>,</w:t>
      </w:r>
      <w:r w:rsidR="008C4469">
        <w:rPr>
          <w:rFonts w:asciiTheme="minorHAnsi" w:hAnsiTheme="minorHAnsi" w:cs="Tahoma"/>
          <w:sz w:val="24"/>
        </w:rPr>
        <w:t xml:space="preserve"> </w:t>
      </w:r>
      <w:r w:rsidR="00F03394">
        <w:rPr>
          <w:rFonts w:asciiTheme="minorHAnsi" w:hAnsiTheme="minorHAnsi" w:cs="Tahoma"/>
          <w:sz w:val="24"/>
        </w:rPr>
        <w:t xml:space="preserve">sono </w:t>
      </w:r>
      <w:r w:rsidR="002C2D88" w:rsidRPr="0049001B">
        <w:rPr>
          <w:rFonts w:asciiTheme="minorHAnsi" w:hAnsiTheme="minorHAnsi" w:cs="Tahoma"/>
          <w:b/>
          <w:sz w:val="24"/>
        </w:rPr>
        <w:t>1</w:t>
      </w:r>
      <w:r w:rsidR="008C4469">
        <w:rPr>
          <w:rFonts w:asciiTheme="minorHAnsi" w:hAnsiTheme="minorHAnsi" w:cs="Tahoma"/>
          <w:b/>
          <w:sz w:val="24"/>
        </w:rPr>
        <w:t>7</w:t>
      </w:r>
      <w:r w:rsidR="002C2D88" w:rsidRPr="0049001B">
        <w:rPr>
          <w:rFonts w:asciiTheme="minorHAnsi" w:hAnsiTheme="minorHAnsi" w:cs="Tahoma"/>
          <w:b/>
          <w:sz w:val="24"/>
        </w:rPr>
        <w:t>.</w:t>
      </w:r>
      <w:r w:rsidR="00056D5F">
        <w:rPr>
          <w:rFonts w:asciiTheme="minorHAnsi" w:hAnsiTheme="minorHAnsi" w:cs="Tahoma"/>
          <w:b/>
          <w:sz w:val="24"/>
        </w:rPr>
        <w:t>2</w:t>
      </w:r>
      <w:r w:rsidR="00EA3485">
        <w:rPr>
          <w:rFonts w:asciiTheme="minorHAnsi" w:hAnsiTheme="minorHAnsi" w:cs="Tahoma"/>
          <w:b/>
          <w:sz w:val="24"/>
        </w:rPr>
        <w:t>84</w:t>
      </w:r>
      <w:r w:rsidR="002C2D88" w:rsidRPr="0049001B">
        <w:rPr>
          <w:rFonts w:asciiTheme="minorHAnsi" w:hAnsiTheme="minorHAnsi" w:cs="Tahoma"/>
          <w:b/>
          <w:sz w:val="24"/>
        </w:rPr>
        <w:t xml:space="preserve"> </w:t>
      </w:r>
      <w:r w:rsidR="00B46F77" w:rsidRPr="0049001B">
        <w:rPr>
          <w:rFonts w:asciiTheme="minorHAnsi" w:hAnsiTheme="minorHAnsi" w:cs="Tahoma"/>
          <w:b/>
          <w:sz w:val="24"/>
        </w:rPr>
        <w:t xml:space="preserve">gli </w:t>
      </w:r>
      <w:r w:rsidR="002C2D88" w:rsidRPr="0049001B">
        <w:rPr>
          <w:rFonts w:asciiTheme="minorHAnsi" w:hAnsiTheme="minorHAnsi" w:cs="Tahoma"/>
          <w:b/>
          <w:sz w:val="24"/>
        </w:rPr>
        <w:t>addetti</w:t>
      </w:r>
      <w:r w:rsidR="002D0F4A">
        <w:rPr>
          <w:rFonts w:asciiTheme="minorHAnsi" w:hAnsiTheme="minorHAnsi" w:cs="Tahoma"/>
          <w:b/>
          <w:sz w:val="24"/>
        </w:rPr>
        <w:t xml:space="preserve"> </w:t>
      </w:r>
      <w:r w:rsidR="00B82EFB">
        <w:rPr>
          <w:rFonts w:asciiTheme="minorHAnsi" w:hAnsiTheme="minorHAnsi" w:cs="Tahoma"/>
          <w:b/>
          <w:sz w:val="24"/>
        </w:rPr>
        <w:t>a fine</w:t>
      </w:r>
      <w:r w:rsidR="002D0F4A">
        <w:rPr>
          <w:rFonts w:asciiTheme="minorHAnsi" w:hAnsiTheme="minorHAnsi" w:cs="Tahoma"/>
          <w:b/>
          <w:sz w:val="24"/>
        </w:rPr>
        <w:t xml:space="preserve"> 201</w:t>
      </w:r>
      <w:r w:rsidR="00EA3485">
        <w:rPr>
          <w:rFonts w:asciiTheme="minorHAnsi" w:hAnsiTheme="minorHAnsi" w:cs="Tahoma"/>
          <w:b/>
          <w:sz w:val="24"/>
        </w:rPr>
        <w:t>7</w:t>
      </w:r>
      <w:r w:rsidR="002C2D88" w:rsidRPr="0049001B">
        <w:rPr>
          <w:rFonts w:asciiTheme="minorHAnsi" w:hAnsiTheme="minorHAnsi" w:cs="Tahoma"/>
          <w:sz w:val="24"/>
        </w:rPr>
        <w:t>.</w:t>
      </w:r>
    </w:p>
    <w:p w:rsidR="00410D2E" w:rsidRDefault="00410D2E" w:rsidP="002C2D88">
      <w:pPr>
        <w:jc w:val="both"/>
        <w:rPr>
          <w:rFonts w:asciiTheme="minorHAnsi" w:hAnsiTheme="minorHAnsi" w:cs="Tahoma"/>
          <w:sz w:val="24"/>
        </w:rPr>
      </w:pPr>
    </w:p>
    <w:p w:rsidR="00982287" w:rsidRPr="0049001B" w:rsidRDefault="00982287" w:rsidP="00C776A9">
      <w:pPr>
        <w:jc w:val="both"/>
        <w:rPr>
          <w:rFonts w:asciiTheme="minorHAnsi" w:hAnsiTheme="minorHAnsi" w:cs="Tahoma"/>
          <w:b/>
          <w:sz w:val="24"/>
        </w:rPr>
      </w:pPr>
    </w:p>
    <w:p w:rsidR="00C776A9" w:rsidRPr="0049001B" w:rsidRDefault="00BA6E46" w:rsidP="00C776A9">
      <w:pPr>
        <w:jc w:val="both"/>
        <w:rPr>
          <w:rFonts w:asciiTheme="minorHAnsi" w:hAnsiTheme="minorHAnsi" w:cs="Tahoma"/>
          <w:b/>
          <w:sz w:val="24"/>
        </w:rPr>
      </w:pPr>
      <w:r w:rsidRPr="004661FF">
        <w:rPr>
          <w:rFonts w:asciiTheme="minorHAnsi" w:hAnsiTheme="minorHAnsi" w:cs="Tahoma"/>
          <w:b/>
          <w:sz w:val="24"/>
        </w:rPr>
        <w:t>LE ESPORTAZIONI</w:t>
      </w:r>
      <w:r w:rsidR="008C1BFB" w:rsidRPr="004661FF">
        <w:rPr>
          <w:rFonts w:asciiTheme="minorHAnsi" w:hAnsiTheme="minorHAnsi" w:cs="Tahoma"/>
          <w:b/>
          <w:sz w:val="24"/>
        </w:rPr>
        <w:t xml:space="preserve"> E LA BILANCIA COMMERCIALE</w:t>
      </w:r>
    </w:p>
    <w:p w:rsidR="00C776A9" w:rsidRPr="0049001B" w:rsidRDefault="00C776A9" w:rsidP="00C776A9">
      <w:pPr>
        <w:jc w:val="both"/>
        <w:rPr>
          <w:rFonts w:asciiTheme="minorHAnsi" w:hAnsiTheme="minorHAnsi" w:cs="Tahoma"/>
          <w:sz w:val="24"/>
        </w:rPr>
      </w:pPr>
    </w:p>
    <w:p w:rsidR="00B15FD1" w:rsidRDefault="00B15FD1" w:rsidP="000F1CB0">
      <w:pPr>
        <w:jc w:val="both"/>
        <w:rPr>
          <w:rFonts w:asciiTheme="minorHAnsi" w:hAnsiTheme="minorHAnsi" w:cs="Tahoma"/>
          <w:sz w:val="24"/>
        </w:rPr>
      </w:pPr>
      <w:r w:rsidRPr="00B15FD1">
        <w:rPr>
          <w:rFonts w:asciiTheme="minorHAnsi" w:hAnsiTheme="minorHAnsi" w:cs="Tahoma"/>
          <w:sz w:val="24"/>
        </w:rPr>
        <w:t xml:space="preserve">Le </w:t>
      </w:r>
      <w:r w:rsidRPr="004661FF">
        <w:rPr>
          <w:rFonts w:asciiTheme="minorHAnsi" w:hAnsiTheme="minorHAnsi" w:cs="Tahoma"/>
          <w:b/>
          <w:sz w:val="24"/>
        </w:rPr>
        <w:t>esportazioni</w:t>
      </w:r>
      <w:r w:rsidRPr="00B15FD1">
        <w:rPr>
          <w:rFonts w:asciiTheme="minorHAnsi" w:hAnsiTheme="minorHAnsi" w:cs="Tahoma"/>
          <w:sz w:val="24"/>
        </w:rPr>
        <w:t xml:space="preserve">, di montature, occhiali da sole e lenti, </w:t>
      </w:r>
      <w:r>
        <w:rPr>
          <w:rFonts w:asciiTheme="minorHAnsi" w:hAnsiTheme="minorHAnsi" w:cs="Tahoma"/>
          <w:sz w:val="24"/>
        </w:rPr>
        <w:t xml:space="preserve">che assorbono </w:t>
      </w:r>
      <w:r w:rsidR="00D00CC5">
        <w:rPr>
          <w:rFonts w:asciiTheme="minorHAnsi" w:hAnsiTheme="minorHAnsi" w:cs="Tahoma"/>
          <w:sz w:val="24"/>
        </w:rPr>
        <w:t>quasi</w:t>
      </w:r>
      <w:r w:rsidRPr="00B15FD1">
        <w:rPr>
          <w:rFonts w:asciiTheme="minorHAnsi" w:hAnsiTheme="minorHAnsi" w:cs="Tahoma"/>
          <w:sz w:val="24"/>
        </w:rPr>
        <w:t xml:space="preserve"> il 90% della produzione del settore, sono </w:t>
      </w:r>
      <w:r w:rsidRPr="004661FF">
        <w:rPr>
          <w:rFonts w:asciiTheme="minorHAnsi" w:hAnsiTheme="minorHAnsi" w:cs="Tahoma"/>
          <w:b/>
          <w:sz w:val="24"/>
        </w:rPr>
        <w:t xml:space="preserve">cresciute del </w:t>
      </w:r>
      <w:r w:rsidR="002A6055">
        <w:rPr>
          <w:rFonts w:asciiTheme="minorHAnsi" w:hAnsiTheme="minorHAnsi" w:cs="Tahoma"/>
          <w:b/>
          <w:sz w:val="24"/>
        </w:rPr>
        <w:t>3</w:t>
      </w:r>
      <w:r w:rsidR="005641EC">
        <w:rPr>
          <w:rFonts w:asciiTheme="minorHAnsi" w:hAnsiTheme="minorHAnsi" w:cs="Tahoma"/>
          <w:b/>
          <w:sz w:val="24"/>
        </w:rPr>
        <w:t>,</w:t>
      </w:r>
      <w:r w:rsidR="00EA3485">
        <w:rPr>
          <w:rFonts w:asciiTheme="minorHAnsi" w:hAnsiTheme="minorHAnsi" w:cs="Tahoma"/>
          <w:b/>
          <w:sz w:val="24"/>
        </w:rPr>
        <w:t>2</w:t>
      </w:r>
      <w:r w:rsidRPr="008A56E3">
        <w:rPr>
          <w:rFonts w:asciiTheme="minorHAnsi" w:hAnsiTheme="minorHAnsi" w:cs="Tahoma"/>
          <w:sz w:val="24"/>
        </w:rPr>
        <w:t>%</w:t>
      </w:r>
      <w:r w:rsidRPr="00B15FD1">
        <w:rPr>
          <w:rFonts w:asciiTheme="minorHAnsi" w:hAnsiTheme="minorHAnsi" w:cs="Tahoma"/>
          <w:sz w:val="24"/>
        </w:rPr>
        <w:t xml:space="preserve"> rispetto al 201</w:t>
      </w:r>
      <w:r w:rsidR="00EA3485">
        <w:rPr>
          <w:rFonts w:asciiTheme="minorHAnsi" w:hAnsiTheme="minorHAnsi" w:cs="Tahoma"/>
          <w:sz w:val="24"/>
        </w:rPr>
        <w:t>6</w:t>
      </w:r>
      <w:r w:rsidR="0062483D">
        <w:rPr>
          <w:rFonts w:asciiTheme="minorHAnsi" w:hAnsiTheme="minorHAnsi" w:cs="Tahoma"/>
          <w:sz w:val="24"/>
        </w:rPr>
        <w:t>,</w:t>
      </w:r>
      <w:r w:rsidRPr="00B15FD1">
        <w:rPr>
          <w:rFonts w:asciiTheme="minorHAnsi" w:hAnsiTheme="minorHAnsi" w:cs="Tahoma"/>
          <w:sz w:val="24"/>
        </w:rPr>
        <w:t xml:space="preserve"> raggiungendo </w:t>
      </w:r>
      <w:r w:rsidR="00317FDA">
        <w:rPr>
          <w:rFonts w:asciiTheme="minorHAnsi" w:hAnsiTheme="minorHAnsi" w:cs="Tahoma"/>
          <w:sz w:val="24"/>
        </w:rPr>
        <w:t xml:space="preserve">il valore di </w:t>
      </w:r>
      <w:r w:rsidR="004A6D33">
        <w:rPr>
          <w:rFonts w:asciiTheme="minorHAnsi" w:hAnsiTheme="minorHAnsi" w:cs="Tahoma"/>
          <w:b/>
          <w:sz w:val="24"/>
        </w:rPr>
        <w:t>3.</w:t>
      </w:r>
      <w:r w:rsidR="00EA3485">
        <w:rPr>
          <w:rFonts w:asciiTheme="minorHAnsi" w:hAnsiTheme="minorHAnsi" w:cs="Tahoma"/>
          <w:b/>
          <w:sz w:val="24"/>
        </w:rPr>
        <w:t>731</w:t>
      </w:r>
      <w:r w:rsidRPr="004661FF">
        <w:rPr>
          <w:rFonts w:asciiTheme="minorHAnsi" w:hAnsiTheme="minorHAnsi" w:cs="Tahoma"/>
          <w:b/>
          <w:sz w:val="24"/>
        </w:rPr>
        <w:t xml:space="preserve"> milioni di euro</w:t>
      </w:r>
      <w:r w:rsidRPr="00B15FD1">
        <w:rPr>
          <w:rFonts w:asciiTheme="minorHAnsi" w:hAnsiTheme="minorHAnsi" w:cs="Tahoma"/>
          <w:sz w:val="24"/>
        </w:rPr>
        <w:t>.</w:t>
      </w:r>
      <w:r w:rsidR="0062483D">
        <w:rPr>
          <w:rFonts w:asciiTheme="minorHAnsi" w:hAnsiTheme="minorHAnsi" w:cs="Tahoma"/>
          <w:sz w:val="24"/>
        </w:rPr>
        <w:t xml:space="preserve"> </w:t>
      </w:r>
    </w:p>
    <w:p w:rsidR="0062483D" w:rsidRDefault="0062483D" w:rsidP="000F1CB0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[Si tratta di dati di preconsuntivo, stimati da ANFAO sulla base degli ultimi dati ISTAT disponibili relativi al periodo gennaio-</w:t>
      </w:r>
      <w:r w:rsidR="00EA3485">
        <w:rPr>
          <w:rFonts w:asciiTheme="minorHAnsi" w:hAnsiTheme="minorHAnsi" w:cs="Tahoma"/>
          <w:sz w:val="24"/>
        </w:rPr>
        <w:t>novembre</w:t>
      </w:r>
      <w:r>
        <w:rPr>
          <w:rFonts w:asciiTheme="minorHAnsi" w:hAnsiTheme="minorHAnsi" w:cs="Tahoma"/>
          <w:sz w:val="24"/>
        </w:rPr>
        <w:t xml:space="preserve"> 201</w:t>
      </w:r>
      <w:r w:rsidR="00EA3485">
        <w:rPr>
          <w:rFonts w:asciiTheme="minorHAnsi" w:hAnsiTheme="minorHAnsi" w:cs="Tahoma"/>
          <w:sz w:val="24"/>
        </w:rPr>
        <w:t>7</w:t>
      </w:r>
      <w:r>
        <w:rPr>
          <w:rFonts w:asciiTheme="minorHAnsi" w:hAnsiTheme="minorHAnsi" w:cs="Tahoma"/>
          <w:sz w:val="24"/>
        </w:rPr>
        <w:t>.]</w:t>
      </w:r>
    </w:p>
    <w:p w:rsidR="004661FF" w:rsidRDefault="004661FF" w:rsidP="000F1CB0">
      <w:pPr>
        <w:jc w:val="both"/>
        <w:rPr>
          <w:rFonts w:asciiTheme="minorHAnsi" w:hAnsiTheme="minorHAnsi" w:cs="Tahoma"/>
          <w:sz w:val="24"/>
        </w:rPr>
      </w:pPr>
    </w:p>
    <w:p w:rsidR="004661FF" w:rsidRPr="00ED5564" w:rsidRDefault="00D00CC5" w:rsidP="000F1CB0">
      <w:pPr>
        <w:jc w:val="both"/>
        <w:rPr>
          <w:rFonts w:asciiTheme="minorHAnsi" w:hAnsiTheme="minorHAnsi" w:cs="Tahoma"/>
          <w:sz w:val="24"/>
        </w:rPr>
      </w:pPr>
      <w:r w:rsidRPr="00ED5564">
        <w:rPr>
          <w:rFonts w:asciiTheme="minorHAnsi" w:hAnsiTheme="minorHAnsi" w:cs="Tahoma"/>
          <w:sz w:val="24"/>
        </w:rPr>
        <w:t xml:space="preserve">L’apporto a tale crescita è </w:t>
      </w:r>
      <w:r w:rsidR="00ED5564" w:rsidRPr="00ED5564">
        <w:rPr>
          <w:rFonts w:asciiTheme="minorHAnsi" w:hAnsiTheme="minorHAnsi" w:cs="Tahoma"/>
          <w:sz w:val="24"/>
        </w:rPr>
        <w:t xml:space="preserve">stato leggermente superiore per le montature rispetto agli </w:t>
      </w:r>
      <w:r w:rsidR="00EA3485" w:rsidRPr="00ED5564">
        <w:rPr>
          <w:rFonts w:asciiTheme="minorHAnsi" w:hAnsiTheme="minorHAnsi" w:cs="Tahoma"/>
          <w:sz w:val="24"/>
        </w:rPr>
        <w:t>occhiali da sole</w:t>
      </w:r>
      <w:r w:rsidR="004661FF" w:rsidRPr="00ED5564">
        <w:rPr>
          <w:rFonts w:asciiTheme="minorHAnsi" w:hAnsiTheme="minorHAnsi" w:cs="Tahoma"/>
          <w:sz w:val="24"/>
        </w:rPr>
        <w:t>.</w:t>
      </w:r>
    </w:p>
    <w:p w:rsidR="00B15FD1" w:rsidRDefault="00B15FD1" w:rsidP="000F1CB0">
      <w:pPr>
        <w:jc w:val="both"/>
        <w:rPr>
          <w:rFonts w:asciiTheme="minorHAnsi" w:hAnsiTheme="minorHAnsi" w:cs="Tahoma"/>
          <w:sz w:val="24"/>
        </w:rPr>
      </w:pPr>
    </w:p>
    <w:p w:rsidR="004661FF" w:rsidRPr="0049001B" w:rsidRDefault="004661FF" w:rsidP="004661FF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49001B">
        <w:rPr>
          <w:rFonts w:asciiTheme="minorHAnsi" w:eastAsia="Times New Roman" w:hAnsiTheme="minorHAnsi" w:cs="Tahoma"/>
        </w:rPr>
        <w:t>L’</w:t>
      </w:r>
      <w:r w:rsidRPr="0049001B">
        <w:rPr>
          <w:rFonts w:asciiTheme="minorHAnsi" w:eastAsia="Times New Roman" w:hAnsiTheme="minorHAnsi" w:cs="Tahoma"/>
          <w:b/>
        </w:rPr>
        <w:t xml:space="preserve">export degli occhiali da sole </w:t>
      </w:r>
      <w:r w:rsidRPr="0049001B">
        <w:rPr>
          <w:rFonts w:asciiTheme="minorHAnsi" w:eastAsia="Times New Roman" w:hAnsiTheme="minorHAnsi" w:cs="Tahoma"/>
        </w:rPr>
        <w:t>nel 201</w:t>
      </w:r>
      <w:r w:rsidR="00EA3485">
        <w:rPr>
          <w:rFonts w:asciiTheme="minorHAnsi" w:eastAsia="Times New Roman" w:hAnsiTheme="minorHAnsi" w:cs="Tahoma"/>
        </w:rPr>
        <w:t>7</w:t>
      </w:r>
      <w:r w:rsidRPr="0049001B">
        <w:rPr>
          <w:rFonts w:asciiTheme="minorHAnsi" w:eastAsia="Times New Roman" w:hAnsiTheme="minorHAnsi" w:cs="Tahoma"/>
        </w:rPr>
        <w:t xml:space="preserve"> </w:t>
      </w:r>
      <w:r w:rsidRPr="004661FF">
        <w:rPr>
          <w:rFonts w:asciiTheme="minorHAnsi" w:eastAsia="Times New Roman" w:hAnsiTheme="minorHAnsi" w:cs="Tahoma"/>
          <w:b/>
        </w:rPr>
        <w:t>h</w:t>
      </w:r>
      <w:r w:rsidRPr="0049001B">
        <w:rPr>
          <w:rFonts w:asciiTheme="minorHAnsi" w:eastAsia="Times New Roman" w:hAnsiTheme="minorHAnsi" w:cs="Tahoma"/>
          <w:b/>
        </w:rPr>
        <w:t xml:space="preserve">a fatto segnare una variazione tendenziale del </w:t>
      </w:r>
      <w:r w:rsidR="00ED5564">
        <w:rPr>
          <w:rFonts w:asciiTheme="minorHAnsi" w:eastAsia="Times New Roman" w:hAnsiTheme="minorHAnsi" w:cs="Tahoma"/>
          <w:b/>
        </w:rPr>
        <w:t>2</w:t>
      </w:r>
      <w:r w:rsidR="00F62DCB">
        <w:rPr>
          <w:rFonts w:asciiTheme="minorHAnsi" w:eastAsia="Times New Roman" w:hAnsiTheme="minorHAnsi" w:cs="Tahoma"/>
          <w:b/>
        </w:rPr>
        <w:t>,</w:t>
      </w:r>
      <w:r w:rsidR="00ED5564">
        <w:rPr>
          <w:rFonts w:asciiTheme="minorHAnsi" w:eastAsia="Times New Roman" w:hAnsiTheme="minorHAnsi" w:cs="Tahoma"/>
          <w:b/>
        </w:rPr>
        <w:t>6</w:t>
      </w:r>
      <w:r w:rsidRPr="008A56E3">
        <w:rPr>
          <w:rFonts w:asciiTheme="minorHAnsi" w:eastAsia="Times New Roman" w:hAnsiTheme="minorHAnsi" w:cs="Tahoma"/>
        </w:rPr>
        <w:t>%</w:t>
      </w:r>
      <w:r w:rsidRPr="0049001B">
        <w:rPr>
          <w:rFonts w:asciiTheme="minorHAnsi" w:eastAsia="Times New Roman" w:hAnsiTheme="minorHAnsi" w:cs="Tahoma"/>
        </w:rPr>
        <w:t xml:space="preserve"> attestandosi a </w:t>
      </w:r>
      <w:r>
        <w:rPr>
          <w:rFonts w:asciiTheme="minorHAnsi" w:eastAsia="Times New Roman" w:hAnsiTheme="minorHAnsi" w:cs="Tahoma"/>
        </w:rPr>
        <w:t xml:space="preserve">circa </w:t>
      </w:r>
      <w:r w:rsidR="00F62DCB">
        <w:rPr>
          <w:rFonts w:asciiTheme="minorHAnsi" w:eastAsia="Times New Roman" w:hAnsiTheme="minorHAnsi" w:cs="Tahoma"/>
          <w:b/>
        </w:rPr>
        <w:t>2</w:t>
      </w:r>
      <w:r w:rsidRPr="0049001B">
        <w:rPr>
          <w:rFonts w:asciiTheme="minorHAnsi" w:eastAsia="Times New Roman" w:hAnsiTheme="minorHAnsi" w:cs="Tahoma"/>
          <w:b/>
        </w:rPr>
        <w:t>.</w:t>
      </w:r>
      <w:r w:rsidR="00ED5564">
        <w:rPr>
          <w:rFonts w:asciiTheme="minorHAnsi" w:eastAsia="Times New Roman" w:hAnsiTheme="minorHAnsi" w:cs="Tahoma"/>
          <w:b/>
        </w:rPr>
        <w:t>537</w:t>
      </w:r>
      <w:r w:rsidRPr="0049001B">
        <w:rPr>
          <w:rFonts w:asciiTheme="minorHAnsi" w:eastAsia="Times New Roman" w:hAnsiTheme="minorHAnsi" w:cs="Tahoma"/>
          <w:b/>
        </w:rPr>
        <w:t xml:space="preserve"> milioni di euro</w:t>
      </w:r>
      <w:r w:rsidRPr="005E295C">
        <w:rPr>
          <w:rFonts w:asciiTheme="minorHAnsi" w:eastAsia="Times New Roman" w:hAnsiTheme="minorHAnsi" w:cs="Tahoma"/>
        </w:rPr>
        <w:t xml:space="preserve">.  </w:t>
      </w:r>
    </w:p>
    <w:p w:rsidR="004661FF" w:rsidRPr="0049001B" w:rsidRDefault="004661FF" w:rsidP="004661FF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</w:p>
    <w:p w:rsidR="004661FF" w:rsidRPr="0049001B" w:rsidRDefault="004661FF" w:rsidP="004661FF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49001B">
        <w:rPr>
          <w:rFonts w:asciiTheme="minorHAnsi" w:eastAsia="Times New Roman" w:hAnsiTheme="minorHAnsi" w:cs="Tahoma"/>
        </w:rPr>
        <w:t>L</w:t>
      </w:r>
      <w:r>
        <w:rPr>
          <w:rFonts w:asciiTheme="minorHAnsi" w:eastAsia="Times New Roman" w:hAnsiTheme="minorHAnsi" w:cs="Tahoma"/>
        </w:rPr>
        <w:t xml:space="preserve">e </w:t>
      </w:r>
      <w:r w:rsidRPr="004661FF">
        <w:rPr>
          <w:rFonts w:asciiTheme="minorHAnsi" w:eastAsia="Times New Roman" w:hAnsiTheme="minorHAnsi" w:cs="Tahoma"/>
          <w:b/>
        </w:rPr>
        <w:t>esportazioni di m</w:t>
      </w:r>
      <w:r w:rsidRPr="0049001B">
        <w:rPr>
          <w:rFonts w:asciiTheme="minorHAnsi" w:eastAsia="Times New Roman" w:hAnsiTheme="minorHAnsi" w:cs="Tahoma"/>
          <w:b/>
        </w:rPr>
        <w:t xml:space="preserve">ontature </w:t>
      </w:r>
      <w:r w:rsidRPr="0049001B">
        <w:rPr>
          <w:rFonts w:asciiTheme="minorHAnsi" w:eastAsia="Times New Roman" w:hAnsiTheme="minorHAnsi" w:cs="Tahoma"/>
        </w:rPr>
        <w:t>ha</w:t>
      </w:r>
      <w:r>
        <w:rPr>
          <w:rFonts w:asciiTheme="minorHAnsi" w:eastAsia="Times New Roman" w:hAnsiTheme="minorHAnsi" w:cs="Tahoma"/>
        </w:rPr>
        <w:t>nno</w:t>
      </w:r>
      <w:r w:rsidRPr="0049001B">
        <w:rPr>
          <w:rFonts w:asciiTheme="minorHAnsi" w:eastAsia="Times New Roman" w:hAnsiTheme="minorHAnsi" w:cs="Tahoma"/>
        </w:rPr>
        <w:t xml:space="preserve"> registrato</w:t>
      </w:r>
      <w:r w:rsidR="00F62DCB">
        <w:rPr>
          <w:rFonts w:asciiTheme="minorHAnsi" w:eastAsia="Times New Roman" w:hAnsiTheme="minorHAnsi" w:cs="Tahoma"/>
        </w:rPr>
        <w:t>,</w:t>
      </w:r>
      <w:r w:rsidRPr="0049001B">
        <w:rPr>
          <w:rFonts w:asciiTheme="minorHAnsi" w:eastAsia="Times New Roman" w:hAnsiTheme="minorHAnsi" w:cs="Tahoma"/>
        </w:rPr>
        <w:t xml:space="preserve"> invece</w:t>
      </w:r>
      <w:r w:rsidR="00F62DCB">
        <w:rPr>
          <w:rFonts w:asciiTheme="minorHAnsi" w:eastAsia="Times New Roman" w:hAnsiTheme="minorHAnsi" w:cs="Tahoma"/>
        </w:rPr>
        <w:t>,</w:t>
      </w:r>
      <w:r w:rsidRPr="0049001B">
        <w:rPr>
          <w:rFonts w:asciiTheme="minorHAnsi" w:eastAsia="Times New Roman" w:hAnsiTheme="minorHAnsi" w:cs="Tahoma"/>
        </w:rPr>
        <w:t xml:space="preserve"> </w:t>
      </w:r>
      <w:r w:rsidRPr="0049001B">
        <w:rPr>
          <w:rFonts w:asciiTheme="minorHAnsi" w:eastAsia="Times New Roman" w:hAnsiTheme="minorHAnsi" w:cs="Tahoma"/>
          <w:b/>
        </w:rPr>
        <w:t xml:space="preserve">una </w:t>
      </w:r>
      <w:r w:rsidR="00ED5564">
        <w:rPr>
          <w:rFonts w:asciiTheme="minorHAnsi" w:eastAsia="Times New Roman" w:hAnsiTheme="minorHAnsi" w:cs="Tahoma"/>
          <w:b/>
        </w:rPr>
        <w:t xml:space="preserve">crescita </w:t>
      </w:r>
      <w:r w:rsidR="00F62DCB">
        <w:rPr>
          <w:rFonts w:asciiTheme="minorHAnsi" w:eastAsia="Times New Roman" w:hAnsiTheme="minorHAnsi" w:cs="Tahoma"/>
          <w:b/>
        </w:rPr>
        <w:t xml:space="preserve">del </w:t>
      </w:r>
      <w:r w:rsidR="00ED5564">
        <w:rPr>
          <w:rFonts w:asciiTheme="minorHAnsi" w:eastAsia="Times New Roman" w:hAnsiTheme="minorHAnsi" w:cs="Tahoma"/>
          <w:b/>
        </w:rPr>
        <w:t>3</w:t>
      </w:r>
      <w:r w:rsidR="0034107E">
        <w:rPr>
          <w:rFonts w:asciiTheme="minorHAnsi" w:eastAsia="Times New Roman" w:hAnsiTheme="minorHAnsi" w:cs="Tahoma"/>
          <w:b/>
        </w:rPr>
        <w:t>,</w:t>
      </w:r>
      <w:r w:rsidR="00ED5564">
        <w:rPr>
          <w:rFonts w:asciiTheme="minorHAnsi" w:eastAsia="Times New Roman" w:hAnsiTheme="minorHAnsi" w:cs="Tahoma"/>
          <w:b/>
        </w:rPr>
        <w:t>9</w:t>
      </w:r>
      <w:r w:rsidRPr="008A56E3">
        <w:rPr>
          <w:rFonts w:asciiTheme="minorHAnsi" w:eastAsia="Times New Roman" w:hAnsiTheme="minorHAnsi" w:cs="Tahoma"/>
        </w:rPr>
        <w:t>%</w:t>
      </w:r>
      <w:r w:rsidRPr="0049001B">
        <w:rPr>
          <w:rFonts w:asciiTheme="minorHAnsi" w:eastAsia="Times New Roman" w:hAnsiTheme="minorHAnsi" w:cs="Tahoma"/>
        </w:rPr>
        <w:t xml:space="preserve">, </w:t>
      </w:r>
      <w:r w:rsidR="00F01F37">
        <w:rPr>
          <w:rFonts w:asciiTheme="minorHAnsi" w:eastAsia="Times New Roman" w:hAnsiTheme="minorHAnsi" w:cs="Tahoma"/>
        </w:rPr>
        <w:t xml:space="preserve">arrivando a </w:t>
      </w:r>
      <w:r w:rsidR="0034107E">
        <w:rPr>
          <w:rFonts w:asciiTheme="minorHAnsi" w:eastAsia="Times New Roman" w:hAnsiTheme="minorHAnsi" w:cs="Tahoma"/>
          <w:b/>
        </w:rPr>
        <w:t>1.</w:t>
      </w:r>
      <w:r w:rsidR="00ED5564">
        <w:rPr>
          <w:rFonts w:asciiTheme="minorHAnsi" w:eastAsia="Times New Roman" w:hAnsiTheme="minorHAnsi" w:cs="Tahoma"/>
          <w:b/>
        </w:rPr>
        <w:t>114</w:t>
      </w:r>
      <w:r w:rsidRPr="0049001B">
        <w:rPr>
          <w:rFonts w:asciiTheme="minorHAnsi" w:eastAsia="Times New Roman" w:hAnsiTheme="minorHAnsi" w:cs="Tahoma"/>
          <w:b/>
        </w:rPr>
        <w:t xml:space="preserve"> milioni di euro</w:t>
      </w:r>
      <w:r w:rsidR="005E295C" w:rsidRPr="005E295C">
        <w:rPr>
          <w:rFonts w:asciiTheme="minorHAnsi" w:eastAsia="Times New Roman" w:hAnsiTheme="minorHAnsi" w:cs="Tahoma"/>
        </w:rPr>
        <w:t xml:space="preserve"> circa</w:t>
      </w:r>
      <w:r w:rsidRPr="005E295C">
        <w:rPr>
          <w:rFonts w:asciiTheme="minorHAnsi" w:eastAsia="Times New Roman" w:hAnsiTheme="minorHAnsi" w:cs="Tahoma"/>
        </w:rPr>
        <w:t>.</w:t>
      </w:r>
    </w:p>
    <w:p w:rsidR="004661FF" w:rsidRDefault="004661FF" w:rsidP="000F1CB0">
      <w:pPr>
        <w:jc w:val="both"/>
        <w:rPr>
          <w:rFonts w:asciiTheme="minorHAnsi" w:hAnsiTheme="minorHAnsi" w:cs="Tahoma"/>
          <w:sz w:val="24"/>
        </w:rPr>
      </w:pPr>
    </w:p>
    <w:p w:rsidR="003447D0" w:rsidRPr="0049001B" w:rsidRDefault="00ED5564" w:rsidP="003447D0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</w:rPr>
        <w:t>L</w:t>
      </w:r>
      <w:r w:rsidR="003447D0" w:rsidRPr="0049001B">
        <w:rPr>
          <w:rFonts w:asciiTheme="minorHAnsi" w:eastAsia="Times New Roman" w:hAnsiTheme="minorHAnsi" w:cs="Tahoma"/>
        </w:rPr>
        <w:t xml:space="preserve">e importazioni </w:t>
      </w:r>
      <w:r>
        <w:rPr>
          <w:rFonts w:asciiTheme="minorHAnsi" w:eastAsia="Times New Roman" w:hAnsiTheme="minorHAnsi" w:cs="Tahoma"/>
        </w:rPr>
        <w:t xml:space="preserve">hanno avuto un andamento analogo, con una crescita tendenziale </w:t>
      </w:r>
      <w:r w:rsidR="003447D0" w:rsidRPr="0049001B">
        <w:rPr>
          <w:rFonts w:asciiTheme="minorHAnsi" w:eastAsia="Times New Roman" w:hAnsiTheme="minorHAnsi" w:cs="Tahoma"/>
        </w:rPr>
        <w:t xml:space="preserve">del </w:t>
      </w:r>
      <w:r>
        <w:rPr>
          <w:rFonts w:asciiTheme="minorHAnsi" w:eastAsia="Times New Roman" w:hAnsiTheme="minorHAnsi" w:cs="Tahoma"/>
          <w:b/>
        </w:rPr>
        <w:t>4</w:t>
      </w:r>
      <w:r w:rsidR="0034107E">
        <w:rPr>
          <w:rFonts w:asciiTheme="minorHAnsi" w:eastAsia="Times New Roman" w:hAnsiTheme="minorHAnsi" w:cs="Tahoma"/>
          <w:b/>
        </w:rPr>
        <w:t>,</w:t>
      </w:r>
      <w:r w:rsidR="005641EC">
        <w:rPr>
          <w:rFonts w:asciiTheme="minorHAnsi" w:eastAsia="Times New Roman" w:hAnsiTheme="minorHAnsi" w:cs="Tahoma"/>
          <w:b/>
        </w:rPr>
        <w:t>3</w:t>
      </w:r>
      <w:r w:rsidR="003447D0" w:rsidRPr="008A56E3">
        <w:rPr>
          <w:rFonts w:asciiTheme="minorHAnsi" w:eastAsia="Times New Roman" w:hAnsiTheme="minorHAnsi" w:cs="Tahoma"/>
        </w:rPr>
        <w:t xml:space="preserve">% </w:t>
      </w:r>
      <w:r w:rsidR="004D7B2F" w:rsidRPr="004D7B2F">
        <w:rPr>
          <w:rFonts w:asciiTheme="minorHAnsi" w:eastAsia="Times New Roman" w:hAnsiTheme="minorHAnsi" w:cs="Tahoma"/>
        </w:rPr>
        <w:t xml:space="preserve">per un valore </w:t>
      </w:r>
      <w:r w:rsidR="0034107E">
        <w:rPr>
          <w:rFonts w:asciiTheme="minorHAnsi" w:eastAsia="Times New Roman" w:hAnsiTheme="minorHAnsi" w:cs="Tahoma"/>
        </w:rPr>
        <w:t xml:space="preserve">vicino </w:t>
      </w:r>
      <w:r w:rsidR="005E295C">
        <w:rPr>
          <w:rFonts w:asciiTheme="minorHAnsi" w:eastAsia="Times New Roman" w:hAnsiTheme="minorHAnsi" w:cs="Tahoma"/>
        </w:rPr>
        <w:t xml:space="preserve">ai </w:t>
      </w:r>
      <w:r w:rsidR="005E295C">
        <w:rPr>
          <w:rFonts w:asciiTheme="minorHAnsi" w:eastAsia="Times New Roman" w:hAnsiTheme="minorHAnsi" w:cs="Tahoma"/>
          <w:b/>
        </w:rPr>
        <w:t>1.</w:t>
      </w:r>
      <w:r>
        <w:rPr>
          <w:rFonts w:asciiTheme="minorHAnsi" w:eastAsia="Times New Roman" w:hAnsiTheme="minorHAnsi" w:cs="Tahoma"/>
          <w:b/>
        </w:rPr>
        <w:t>247</w:t>
      </w:r>
      <w:r w:rsidR="003447D0" w:rsidRPr="0049001B">
        <w:rPr>
          <w:rFonts w:asciiTheme="minorHAnsi" w:eastAsia="Times New Roman" w:hAnsiTheme="minorHAnsi" w:cs="Tahoma"/>
          <w:b/>
        </w:rPr>
        <w:t xml:space="preserve"> milioni di euro</w:t>
      </w:r>
      <w:r w:rsidR="003447D0" w:rsidRPr="0049001B">
        <w:rPr>
          <w:rFonts w:asciiTheme="minorHAnsi" w:eastAsia="Times New Roman" w:hAnsiTheme="minorHAnsi" w:cs="Tahoma"/>
        </w:rPr>
        <w:t xml:space="preserve">. </w:t>
      </w:r>
    </w:p>
    <w:p w:rsidR="00A86B03" w:rsidRDefault="00A86B03" w:rsidP="000F1CB0">
      <w:pPr>
        <w:jc w:val="both"/>
        <w:rPr>
          <w:rFonts w:asciiTheme="minorHAnsi" w:hAnsiTheme="minorHAnsi" w:cs="Tahoma"/>
          <w:sz w:val="24"/>
        </w:rPr>
      </w:pPr>
    </w:p>
    <w:p w:rsidR="004D7B2F" w:rsidRDefault="00DF587E" w:rsidP="000F1CB0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L</w:t>
      </w:r>
      <w:r w:rsidR="00C776A9" w:rsidRPr="0049001B">
        <w:rPr>
          <w:rFonts w:asciiTheme="minorHAnsi" w:hAnsiTheme="minorHAnsi" w:cs="Tahoma"/>
          <w:sz w:val="24"/>
        </w:rPr>
        <w:t>a</w:t>
      </w:r>
      <w:r>
        <w:rPr>
          <w:rFonts w:asciiTheme="minorHAnsi" w:hAnsiTheme="minorHAnsi" w:cs="Tahoma"/>
          <w:sz w:val="24"/>
        </w:rPr>
        <w:t xml:space="preserve"> </w:t>
      </w:r>
      <w:r w:rsidR="00C776A9" w:rsidRPr="0049001B">
        <w:rPr>
          <w:rFonts w:asciiTheme="minorHAnsi" w:hAnsiTheme="minorHAnsi" w:cs="Tahoma"/>
          <w:sz w:val="24"/>
        </w:rPr>
        <w:t>bilancia commerciale del</w:t>
      </w:r>
      <w:r w:rsidR="004D7B2F">
        <w:rPr>
          <w:rFonts w:asciiTheme="minorHAnsi" w:hAnsiTheme="minorHAnsi" w:cs="Tahoma"/>
          <w:sz w:val="24"/>
        </w:rPr>
        <w:t>l’occhialeria</w:t>
      </w:r>
      <w:r w:rsidR="00C776A9" w:rsidRPr="0049001B">
        <w:rPr>
          <w:rFonts w:asciiTheme="minorHAnsi" w:hAnsiTheme="minorHAnsi" w:cs="Tahoma"/>
          <w:sz w:val="24"/>
        </w:rPr>
        <w:t xml:space="preserve"> </w:t>
      </w:r>
      <w:r w:rsidR="004D7B2F">
        <w:rPr>
          <w:rFonts w:asciiTheme="minorHAnsi" w:hAnsiTheme="minorHAnsi" w:cs="Tahoma"/>
          <w:sz w:val="24"/>
        </w:rPr>
        <w:t xml:space="preserve">italiana </w:t>
      </w:r>
      <w:r w:rsidR="00B46F77" w:rsidRPr="0049001B">
        <w:rPr>
          <w:rFonts w:asciiTheme="minorHAnsi" w:hAnsiTheme="minorHAnsi" w:cs="Tahoma"/>
          <w:sz w:val="24"/>
        </w:rPr>
        <w:t>con</w:t>
      </w:r>
      <w:r>
        <w:rPr>
          <w:rFonts w:asciiTheme="minorHAnsi" w:hAnsiTheme="minorHAnsi" w:cs="Tahoma"/>
          <w:sz w:val="24"/>
        </w:rPr>
        <w:t>tinua ad essere largamente</w:t>
      </w:r>
      <w:r w:rsidR="00C776A9" w:rsidRPr="0049001B">
        <w:rPr>
          <w:rFonts w:asciiTheme="minorHAnsi" w:hAnsiTheme="minorHAnsi" w:cs="Tahoma"/>
          <w:sz w:val="24"/>
        </w:rPr>
        <w:t xml:space="preserve"> in attivo (</w:t>
      </w:r>
      <w:r>
        <w:rPr>
          <w:rFonts w:asciiTheme="minorHAnsi" w:hAnsiTheme="minorHAnsi" w:cs="Tahoma"/>
          <w:b/>
          <w:sz w:val="24"/>
        </w:rPr>
        <w:t>2</w:t>
      </w:r>
      <w:r w:rsidR="00C776A9" w:rsidRPr="0049001B">
        <w:rPr>
          <w:rFonts w:asciiTheme="minorHAnsi" w:hAnsiTheme="minorHAnsi" w:cs="Tahoma"/>
          <w:b/>
          <w:sz w:val="24"/>
        </w:rPr>
        <w:t>.</w:t>
      </w:r>
      <w:r w:rsidR="00ED5564">
        <w:rPr>
          <w:rFonts w:asciiTheme="minorHAnsi" w:hAnsiTheme="minorHAnsi" w:cs="Tahoma"/>
          <w:b/>
          <w:sz w:val="24"/>
        </w:rPr>
        <w:t>484</w:t>
      </w:r>
      <w:r w:rsidR="00C776A9" w:rsidRPr="0049001B">
        <w:rPr>
          <w:rFonts w:asciiTheme="minorHAnsi" w:hAnsiTheme="minorHAnsi" w:cs="Tahoma"/>
          <w:b/>
          <w:sz w:val="24"/>
        </w:rPr>
        <w:t xml:space="preserve"> milioni di euro il saldo export-import</w:t>
      </w:r>
      <w:r w:rsidR="004D7B2F">
        <w:rPr>
          <w:rFonts w:asciiTheme="minorHAnsi" w:hAnsiTheme="minorHAnsi" w:cs="Tahoma"/>
          <w:b/>
          <w:sz w:val="24"/>
        </w:rPr>
        <w:t xml:space="preserve"> nel 201</w:t>
      </w:r>
      <w:r w:rsidR="00ED5564">
        <w:rPr>
          <w:rFonts w:asciiTheme="minorHAnsi" w:hAnsiTheme="minorHAnsi" w:cs="Tahoma"/>
          <w:b/>
          <w:sz w:val="24"/>
        </w:rPr>
        <w:t>7</w:t>
      </w:r>
      <w:r w:rsidR="00C776A9" w:rsidRPr="0049001B">
        <w:rPr>
          <w:rFonts w:asciiTheme="minorHAnsi" w:hAnsiTheme="minorHAnsi" w:cs="Tahoma"/>
          <w:sz w:val="24"/>
        </w:rPr>
        <w:t xml:space="preserve">), </w:t>
      </w:r>
      <w:r w:rsidR="007748A8" w:rsidRPr="0049001B">
        <w:rPr>
          <w:rFonts w:asciiTheme="minorHAnsi" w:hAnsiTheme="minorHAnsi" w:cs="Tahoma"/>
          <w:sz w:val="24"/>
        </w:rPr>
        <w:t xml:space="preserve">in </w:t>
      </w:r>
      <w:r w:rsidR="00940460">
        <w:rPr>
          <w:rFonts w:asciiTheme="minorHAnsi" w:hAnsiTheme="minorHAnsi" w:cs="Tahoma"/>
          <w:sz w:val="24"/>
        </w:rPr>
        <w:t>crescita d</w:t>
      </w:r>
      <w:r>
        <w:rPr>
          <w:rFonts w:asciiTheme="minorHAnsi" w:hAnsiTheme="minorHAnsi" w:cs="Tahoma"/>
          <w:sz w:val="24"/>
        </w:rPr>
        <w:t xml:space="preserve">i </w:t>
      </w:r>
      <w:r w:rsidR="00940460">
        <w:rPr>
          <w:rFonts w:asciiTheme="minorHAnsi" w:hAnsiTheme="minorHAnsi" w:cs="Tahoma"/>
          <w:sz w:val="24"/>
        </w:rPr>
        <w:t xml:space="preserve">circa </w:t>
      </w:r>
      <w:r w:rsidR="00ED5564">
        <w:rPr>
          <w:rFonts w:asciiTheme="minorHAnsi" w:hAnsiTheme="minorHAnsi" w:cs="Tahoma"/>
          <w:sz w:val="24"/>
        </w:rPr>
        <w:t>3</w:t>
      </w:r>
      <w:r w:rsidR="00940460">
        <w:rPr>
          <w:rFonts w:asciiTheme="minorHAnsi" w:hAnsiTheme="minorHAnsi" w:cs="Tahoma"/>
          <w:sz w:val="24"/>
        </w:rPr>
        <w:t xml:space="preserve"> punti</w:t>
      </w:r>
      <w:r>
        <w:rPr>
          <w:rFonts w:asciiTheme="minorHAnsi" w:hAnsiTheme="minorHAnsi" w:cs="Tahoma"/>
          <w:sz w:val="24"/>
        </w:rPr>
        <w:t xml:space="preserve"> percentuali</w:t>
      </w:r>
      <w:r w:rsidR="00C776A9" w:rsidRPr="0049001B">
        <w:rPr>
          <w:rFonts w:asciiTheme="minorHAnsi" w:hAnsiTheme="minorHAnsi" w:cs="Tahoma"/>
          <w:sz w:val="24"/>
        </w:rPr>
        <w:t xml:space="preserve"> rispetto al</w:t>
      </w:r>
      <w:r w:rsidR="00DA76F3" w:rsidRPr="0049001B">
        <w:rPr>
          <w:rFonts w:asciiTheme="minorHAnsi" w:hAnsiTheme="minorHAnsi" w:cs="Tahoma"/>
          <w:sz w:val="24"/>
        </w:rPr>
        <w:t xml:space="preserve"> 20</w:t>
      </w:r>
      <w:r w:rsidR="000F1CB0" w:rsidRPr="0049001B">
        <w:rPr>
          <w:rFonts w:asciiTheme="minorHAnsi" w:hAnsiTheme="minorHAnsi" w:cs="Tahoma"/>
          <w:sz w:val="24"/>
        </w:rPr>
        <w:t>1</w:t>
      </w:r>
      <w:r w:rsidR="00ED5564">
        <w:rPr>
          <w:rFonts w:asciiTheme="minorHAnsi" w:hAnsiTheme="minorHAnsi" w:cs="Tahoma"/>
          <w:sz w:val="24"/>
        </w:rPr>
        <w:t>6</w:t>
      </w:r>
      <w:r w:rsidR="00C776A9" w:rsidRPr="0049001B">
        <w:rPr>
          <w:rFonts w:asciiTheme="minorHAnsi" w:hAnsiTheme="minorHAnsi" w:cs="Tahoma"/>
          <w:sz w:val="24"/>
        </w:rPr>
        <w:t>.</w:t>
      </w:r>
    </w:p>
    <w:p w:rsidR="00940460" w:rsidRDefault="00940460" w:rsidP="000F1CB0">
      <w:pPr>
        <w:jc w:val="both"/>
        <w:rPr>
          <w:rFonts w:asciiTheme="minorHAnsi" w:hAnsiTheme="minorHAnsi" w:cs="Tahoma"/>
          <w:sz w:val="24"/>
        </w:rPr>
      </w:pPr>
    </w:p>
    <w:p w:rsidR="00940460" w:rsidRDefault="00940460" w:rsidP="000F1CB0">
      <w:pPr>
        <w:jc w:val="both"/>
        <w:rPr>
          <w:rFonts w:asciiTheme="minorHAnsi" w:hAnsiTheme="minorHAnsi" w:cs="Tahoma"/>
          <w:sz w:val="24"/>
        </w:rPr>
      </w:pPr>
    </w:p>
    <w:p w:rsidR="004E366A" w:rsidRPr="0049001B" w:rsidRDefault="003904CA" w:rsidP="004E366A">
      <w:pPr>
        <w:jc w:val="both"/>
        <w:rPr>
          <w:rFonts w:asciiTheme="minorHAnsi" w:hAnsiTheme="minorHAnsi" w:cs="Tahoma"/>
          <w:b/>
          <w:caps/>
          <w:sz w:val="24"/>
        </w:rPr>
      </w:pPr>
      <w:r w:rsidRPr="0049001B">
        <w:rPr>
          <w:rFonts w:asciiTheme="minorHAnsi" w:hAnsiTheme="minorHAnsi" w:cs="Tahoma"/>
          <w:b/>
          <w:caps/>
          <w:sz w:val="24"/>
        </w:rPr>
        <w:t xml:space="preserve">Le esportazioni </w:t>
      </w:r>
      <w:r w:rsidR="004E366A" w:rsidRPr="0049001B">
        <w:rPr>
          <w:rFonts w:asciiTheme="minorHAnsi" w:hAnsiTheme="minorHAnsi" w:cs="Tahoma"/>
          <w:b/>
          <w:caps/>
          <w:sz w:val="24"/>
        </w:rPr>
        <w:t>per aree geografiche e paesi</w:t>
      </w:r>
    </w:p>
    <w:p w:rsidR="004E366A" w:rsidRPr="0049001B" w:rsidRDefault="004E366A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</w:p>
    <w:p w:rsidR="002B44AC" w:rsidRPr="002B44AC" w:rsidRDefault="00556128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</w:rPr>
        <w:t xml:space="preserve">La crescita delle esportazioni </w:t>
      </w:r>
      <w:r w:rsidR="002B44AC">
        <w:rPr>
          <w:rFonts w:asciiTheme="minorHAnsi" w:eastAsia="Times New Roman" w:hAnsiTheme="minorHAnsi" w:cs="Tahoma"/>
        </w:rPr>
        <w:t xml:space="preserve">complessiva </w:t>
      </w:r>
      <w:r>
        <w:rPr>
          <w:rFonts w:asciiTheme="minorHAnsi" w:eastAsia="Times New Roman" w:hAnsiTheme="minorHAnsi" w:cs="Tahoma"/>
        </w:rPr>
        <w:t xml:space="preserve">registrata nel 2017 è riferibile esclusivamente a due aree geografiche: </w:t>
      </w:r>
      <w:r w:rsidRPr="002B44AC">
        <w:rPr>
          <w:rFonts w:asciiTheme="minorHAnsi" w:eastAsia="Times New Roman" w:hAnsiTheme="minorHAnsi" w:cs="Tahoma"/>
          <w:b/>
        </w:rPr>
        <w:t>Europa e America</w:t>
      </w:r>
      <w:r w:rsidR="002B44AC" w:rsidRPr="002B44AC">
        <w:rPr>
          <w:rFonts w:asciiTheme="minorHAnsi" w:eastAsia="Times New Roman" w:hAnsiTheme="minorHAnsi" w:cs="Tahoma"/>
        </w:rPr>
        <w:t>, che assorbono rispettivamente il 50% e il 31,5% dell’export del settore</w:t>
      </w:r>
      <w:r w:rsidRPr="002B44AC">
        <w:rPr>
          <w:rFonts w:asciiTheme="minorHAnsi" w:eastAsia="Times New Roman" w:hAnsiTheme="minorHAnsi" w:cs="Tahoma"/>
        </w:rPr>
        <w:t xml:space="preserve">. </w:t>
      </w:r>
    </w:p>
    <w:p w:rsidR="002B44AC" w:rsidRDefault="00556128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</w:rPr>
        <w:lastRenderedPageBreak/>
        <w:t xml:space="preserve">Considerando i due macro-segmenti di prodotto, però, </w:t>
      </w:r>
      <w:r w:rsidR="002B44AC">
        <w:rPr>
          <w:rFonts w:asciiTheme="minorHAnsi" w:eastAsia="Times New Roman" w:hAnsiTheme="minorHAnsi" w:cs="Tahoma"/>
        </w:rPr>
        <w:t>vi è una differenza nelle montature, dove è solo l’area americana a contribuire alla crescita.</w:t>
      </w:r>
    </w:p>
    <w:p w:rsidR="0084536D" w:rsidRDefault="00556128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  <w:b/>
        </w:rPr>
      </w:pPr>
      <w:r>
        <w:rPr>
          <w:rFonts w:asciiTheme="minorHAnsi" w:eastAsia="Times New Roman" w:hAnsiTheme="minorHAnsi" w:cs="Tahoma"/>
        </w:rPr>
        <w:t xml:space="preserve"> </w:t>
      </w:r>
      <w:r w:rsidR="00940460">
        <w:rPr>
          <w:rFonts w:asciiTheme="minorHAnsi" w:eastAsia="Times New Roman" w:hAnsiTheme="minorHAnsi" w:cs="Tahoma"/>
          <w:b/>
        </w:rPr>
        <w:t xml:space="preserve"> </w:t>
      </w:r>
      <w:r w:rsidR="0084536D">
        <w:rPr>
          <w:rFonts w:asciiTheme="minorHAnsi" w:eastAsia="Times New Roman" w:hAnsiTheme="minorHAnsi" w:cs="Tahoma"/>
          <w:b/>
        </w:rPr>
        <w:t xml:space="preserve"> </w:t>
      </w:r>
    </w:p>
    <w:p w:rsidR="00C776A9" w:rsidRPr="0049001B" w:rsidRDefault="00C776A9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49001B">
        <w:rPr>
          <w:rFonts w:asciiTheme="minorHAnsi" w:eastAsia="Times New Roman" w:hAnsiTheme="minorHAnsi" w:cs="Tahoma"/>
        </w:rPr>
        <w:t xml:space="preserve">Relativamente alle </w:t>
      </w:r>
      <w:r w:rsidRPr="0049001B">
        <w:rPr>
          <w:rFonts w:asciiTheme="minorHAnsi" w:eastAsia="Times New Roman" w:hAnsiTheme="minorHAnsi" w:cs="Tahoma"/>
          <w:b/>
          <w:u w:val="single"/>
        </w:rPr>
        <w:t>aree geografiche</w:t>
      </w:r>
      <w:r w:rsidR="001A7CFC" w:rsidRPr="0049001B">
        <w:rPr>
          <w:rFonts w:asciiTheme="minorHAnsi" w:eastAsia="Times New Roman" w:hAnsiTheme="minorHAnsi" w:cs="Tahoma"/>
        </w:rPr>
        <w:t xml:space="preserve"> in dettaglio</w:t>
      </w:r>
      <w:r w:rsidRPr="0049001B">
        <w:rPr>
          <w:rFonts w:asciiTheme="minorHAnsi" w:eastAsia="Times New Roman" w:hAnsiTheme="minorHAnsi" w:cs="Tahoma"/>
        </w:rPr>
        <w:t>, considerando le esportazioni nel loro complesso</w:t>
      </w:r>
      <w:r w:rsidR="005C1F11" w:rsidRPr="0049001B">
        <w:rPr>
          <w:rFonts w:asciiTheme="minorHAnsi" w:eastAsia="Times New Roman" w:hAnsiTheme="minorHAnsi" w:cs="Tahoma"/>
        </w:rPr>
        <w:t>,</w:t>
      </w:r>
      <w:r w:rsidRPr="0049001B">
        <w:rPr>
          <w:rFonts w:asciiTheme="minorHAnsi" w:eastAsia="Times New Roman" w:hAnsiTheme="minorHAnsi" w:cs="Tahoma"/>
        </w:rPr>
        <w:t xml:space="preserve"> </w:t>
      </w:r>
      <w:r w:rsidR="005C1F11" w:rsidRPr="0049001B">
        <w:rPr>
          <w:rFonts w:asciiTheme="minorHAnsi" w:eastAsia="Times New Roman" w:hAnsiTheme="minorHAnsi" w:cs="Tahoma"/>
        </w:rPr>
        <w:t>occhiali da sole e montature</w:t>
      </w:r>
      <w:r w:rsidRPr="0049001B">
        <w:rPr>
          <w:rFonts w:asciiTheme="minorHAnsi" w:eastAsia="Times New Roman" w:hAnsiTheme="minorHAnsi" w:cs="Tahoma"/>
        </w:rPr>
        <w:t xml:space="preserve">, possiamo </w:t>
      </w:r>
      <w:r w:rsidR="003E2A48" w:rsidRPr="0049001B">
        <w:rPr>
          <w:rFonts w:asciiTheme="minorHAnsi" w:eastAsia="Times New Roman" w:hAnsiTheme="minorHAnsi" w:cs="Tahoma"/>
        </w:rPr>
        <w:t>osserva</w:t>
      </w:r>
      <w:r w:rsidRPr="0049001B">
        <w:rPr>
          <w:rFonts w:asciiTheme="minorHAnsi" w:eastAsia="Times New Roman" w:hAnsiTheme="minorHAnsi" w:cs="Tahoma"/>
        </w:rPr>
        <w:t xml:space="preserve">re che: </w:t>
      </w:r>
    </w:p>
    <w:p w:rsidR="00C776A9" w:rsidRPr="0049001B" w:rsidRDefault="00C776A9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</w:p>
    <w:p w:rsidR="00FC5C34" w:rsidRPr="0049001B" w:rsidRDefault="00C776A9" w:rsidP="00C776A9">
      <w:pPr>
        <w:pStyle w:val="xl23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49001B">
        <w:rPr>
          <w:rFonts w:asciiTheme="minorHAnsi" w:eastAsia="Times New Roman" w:hAnsiTheme="minorHAnsi" w:cs="Tahoma"/>
          <w:b/>
        </w:rPr>
        <w:t>area di riferimento</w:t>
      </w:r>
      <w:r w:rsidRPr="0049001B">
        <w:rPr>
          <w:rFonts w:asciiTheme="minorHAnsi" w:eastAsia="Times New Roman" w:hAnsiTheme="minorHAnsi" w:cs="Tahoma"/>
        </w:rPr>
        <w:t xml:space="preserve"> per le esportazioni del</w:t>
      </w:r>
      <w:r w:rsidR="009C6793">
        <w:rPr>
          <w:rFonts w:asciiTheme="minorHAnsi" w:eastAsia="Times New Roman" w:hAnsiTheme="minorHAnsi" w:cs="Tahoma"/>
        </w:rPr>
        <w:t>l’occhialeria</w:t>
      </w:r>
      <w:r w:rsidRPr="0049001B">
        <w:rPr>
          <w:rFonts w:asciiTheme="minorHAnsi" w:eastAsia="Times New Roman" w:hAnsiTheme="minorHAnsi" w:cs="Tahoma"/>
        </w:rPr>
        <w:t xml:space="preserve"> nel 20</w:t>
      </w:r>
      <w:r w:rsidR="004E366A" w:rsidRPr="0049001B">
        <w:rPr>
          <w:rFonts w:asciiTheme="minorHAnsi" w:eastAsia="Times New Roman" w:hAnsiTheme="minorHAnsi" w:cs="Tahoma"/>
        </w:rPr>
        <w:t>1</w:t>
      </w:r>
      <w:r w:rsidR="003D09F6">
        <w:rPr>
          <w:rFonts w:asciiTheme="minorHAnsi" w:eastAsia="Times New Roman" w:hAnsiTheme="minorHAnsi" w:cs="Tahoma"/>
        </w:rPr>
        <w:t>7</w:t>
      </w:r>
      <w:r w:rsidRPr="0049001B">
        <w:rPr>
          <w:rFonts w:asciiTheme="minorHAnsi" w:eastAsia="Times New Roman" w:hAnsiTheme="minorHAnsi" w:cs="Tahoma"/>
        </w:rPr>
        <w:t xml:space="preserve"> </w:t>
      </w:r>
      <w:r w:rsidR="003E2A48" w:rsidRPr="0049001B">
        <w:rPr>
          <w:rFonts w:asciiTheme="minorHAnsi" w:eastAsia="Times New Roman" w:hAnsiTheme="minorHAnsi" w:cs="Tahoma"/>
        </w:rPr>
        <w:t>resta</w:t>
      </w:r>
      <w:r w:rsidRPr="0049001B">
        <w:rPr>
          <w:rFonts w:asciiTheme="minorHAnsi" w:eastAsia="Times New Roman" w:hAnsiTheme="minorHAnsi" w:cs="Tahoma"/>
        </w:rPr>
        <w:t xml:space="preserve"> </w:t>
      </w:r>
      <w:r w:rsidR="005931AF">
        <w:rPr>
          <w:rFonts w:asciiTheme="minorHAnsi" w:eastAsia="Times New Roman" w:hAnsiTheme="minorHAnsi" w:cs="Tahoma"/>
        </w:rPr>
        <w:t xml:space="preserve">sempre </w:t>
      </w:r>
      <w:r w:rsidRPr="0049001B">
        <w:rPr>
          <w:rFonts w:asciiTheme="minorHAnsi" w:eastAsia="Times New Roman" w:hAnsiTheme="minorHAnsi" w:cs="Tahoma"/>
        </w:rPr>
        <w:t>l’</w:t>
      </w:r>
      <w:r w:rsidRPr="0049001B">
        <w:rPr>
          <w:rFonts w:asciiTheme="minorHAnsi" w:eastAsia="Times New Roman" w:hAnsiTheme="minorHAnsi" w:cs="Tahoma"/>
          <w:b/>
        </w:rPr>
        <w:t>Europa</w:t>
      </w:r>
      <w:r w:rsidRPr="0049001B">
        <w:rPr>
          <w:rFonts w:asciiTheme="minorHAnsi" w:eastAsia="Times New Roman" w:hAnsiTheme="minorHAnsi" w:cs="Tahoma"/>
        </w:rPr>
        <w:t xml:space="preserve"> con una </w:t>
      </w:r>
      <w:r w:rsidR="00F00B46" w:rsidRPr="0049001B">
        <w:rPr>
          <w:rFonts w:asciiTheme="minorHAnsi" w:eastAsia="Times New Roman" w:hAnsiTheme="minorHAnsi" w:cs="Tahoma"/>
          <w:b/>
        </w:rPr>
        <w:t xml:space="preserve">crescita </w:t>
      </w:r>
      <w:r w:rsidR="003E2A48" w:rsidRPr="0049001B">
        <w:rPr>
          <w:rFonts w:asciiTheme="minorHAnsi" w:eastAsia="Times New Roman" w:hAnsiTheme="minorHAnsi" w:cs="Tahoma"/>
          <w:b/>
        </w:rPr>
        <w:t xml:space="preserve">tendenziale </w:t>
      </w:r>
      <w:r w:rsidR="00F00B46" w:rsidRPr="0049001B">
        <w:rPr>
          <w:rFonts w:asciiTheme="minorHAnsi" w:eastAsia="Times New Roman" w:hAnsiTheme="minorHAnsi" w:cs="Tahoma"/>
          <w:b/>
        </w:rPr>
        <w:t xml:space="preserve">del </w:t>
      </w:r>
      <w:r w:rsidR="003D09F6">
        <w:rPr>
          <w:rFonts w:asciiTheme="minorHAnsi" w:eastAsia="Times New Roman" w:hAnsiTheme="minorHAnsi" w:cs="Tahoma"/>
          <w:b/>
        </w:rPr>
        <w:t>4</w:t>
      </w:r>
      <w:r w:rsidR="00F00B46" w:rsidRPr="0049001B">
        <w:rPr>
          <w:rFonts w:asciiTheme="minorHAnsi" w:eastAsia="Times New Roman" w:hAnsiTheme="minorHAnsi" w:cs="Tahoma"/>
          <w:b/>
        </w:rPr>
        <w:t>,</w:t>
      </w:r>
      <w:r w:rsidR="003D09F6">
        <w:rPr>
          <w:rFonts w:asciiTheme="minorHAnsi" w:eastAsia="Times New Roman" w:hAnsiTheme="minorHAnsi" w:cs="Tahoma"/>
          <w:b/>
        </w:rPr>
        <w:t>7</w:t>
      </w:r>
      <w:r w:rsidR="00F00B46" w:rsidRPr="008A56E3">
        <w:rPr>
          <w:rFonts w:asciiTheme="minorHAnsi" w:eastAsia="Times New Roman" w:hAnsiTheme="minorHAnsi" w:cs="Tahoma"/>
        </w:rPr>
        <w:t>%</w:t>
      </w:r>
      <w:r w:rsidR="00F00B46" w:rsidRPr="0049001B">
        <w:rPr>
          <w:rFonts w:asciiTheme="minorHAnsi" w:eastAsia="Times New Roman" w:hAnsiTheme="minorHAnsi" w:cs="Tahoma"/>
        </w:rPr>
        <w:t xml:space="preserve"> (+</w:t>
      </w:r>
      <w:r w:rsidR="003D09F6">
        <w:rPr>
          <w:rFonts w:asciiTheme="minorHAnsi" w:eastAsia="Times New Roman" w:hAnsiTheme="minorHAnsi" w:cs="Tahoma"/>
        </w:rPr>
        <w:t>7,7</w:t>
      </w:r>
      <w:r w:rsidR="00F00B46" w:rsidRPr="0049001B">
        <w:rPr>
          <w:rFonts w:asciiTheme="minorHAnsi" w:eastAsia="Times New Roman" w:hAnsiTheme="minorHAnsi" w:cs="Tahoma"/>
        </w:rPr>
        <w:t xml:space="preserve">% per gli occhiali da sole, </w:t>
      </w:r>
      <w:r w:rsidR="00277CBF">
        <w:rPr>
          <w:rFonts w:asciiTheme="minorHAnsi" w:eastAsia="Times New Roman" w:hAnsiTheme="minorHAnsi" w:cs="Tahoma"/>
        </w:rPr>
        <w:t>-</w:t>
      </w:r>
      <w:r w:rsidR="003D09F6">
        <w:rPr>
          <w:rFonts w:asciiTheme="minorHAnsi" w:eastAsia="Times New Roman" w:hAnsiTheme="minorHAnsi" w:cs="Tahoma"/>
        </w:rPr>
        <w:t>0</w:t>
      </w:r>
      <w:r w:rsidR="005931AF">
        <w:rPr>
          <w:rFonts w:asciiTheme="minorHAnsi" w:eastAsia="Times New Roman" w:hAnsiTheme="minorHAnsi" w:cs="Tahoma"/>
        </w:rPr>
        <w:t>,</w:t>
      </w:r>
      <w:r w:rsidR="003D09F6">
        <w:rPr>
          <w:rFonts w:asciiTheme="minorHAnsi" w:eastAsia="Times New Roman" w:hAnsiTheme="minorHAnsi" w:cs="Tahoma"/>
        </w:rPr>
        <w:t>5</w:t>
      </w:r>
      <w:r w:rsidR="00F00B46" w:rsidRPr="0049001B">
        <w:rPr>
          <w:rFonts w:asciiTheme="minorHAnsi" w:eastAsia="Times New Roman" w:hAnsiTheme="minorHAnsi" w:cs="Tahoma"/>
        </w:rPr>
        <w:t>% per le montature).</w:t>
      </w:r>
      <w:r w:rsidR="00FC5C34" w:rsidRPr="0049001B">
        <w:rPr>
          <w:rFonts w:asciiTheme="minorHAnsi" w:eastAsia="Times New Roman" w:hAnsiTheme="minorHAnsi" w:cs="Tahoma"/>
        </w:rPr>
        <w:t xml:space="preserve"> </w:t>
      </w:r>
    </w:p>
    <w:p w:rsidR="00FC5C34" w:rsidRPr="0049001B" w:rsidRDefault="00FC5C34" w:rsidP="00FC5C34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27"/>
        <w:jc w:val="both"/>
        <w:rPr>
          <w:rFonts w:asciiTheme="minorHAnsi" w:eastAsia="Times New Roman" w:hAnsiTheme="minorHAnsi" w:cs="Tahoma"/>
        </w:rPr>
      </w:pPr>
    </w:p>
    <w:p w:rsidR="00C776A9" w:rsidRPr="0049001B" w:rsidRDefault="003D09F6" w:rsidP="00C776A9">
      <w:pPr>
        <w:pStyle w:val="xl23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</w:rPr>
        <w:t xml:space="preserve">In </w:t>
      </w:r>
      <w:r w:rsidR="005C4A1F" w:rsidRPr="0049001B">
        <w:rPr>
          <w:rFonts w:asciiTheme="minorHAnsi" w:eastAsia="Times New Roman" w:hAnsiTheme="minorHAnsi" w:cs="Tahoma"/>
          <w:b/>
        </w:rPr>
        <w:t>America</w:t>
      </w:r>
      <w:r w:rsidR="00C776A9" w:rsidRPr="0049001B">
        <w:rPr>
          <w:rFonts w:asciiTheme="minorHAnsi" w:eastAsia="Times New Roman" w:hAnsiTheme="minorHAnsi" w:cs="Tahoma"/>
        </w:rPr>
        <w:t xml:space="preserve"> nel 20</w:t>
      </w:r>
      <w:r w:rsidR="00C12901" w:rsidRPr="0049001B">
        <w:rPr>
          <w:rFonts w:asciiTheme="minorHAnsi" w:eastAsia="Times New Roman" w:hAnsiTheme="minorHAnsi" w:cs="Tahoma"/>
        </w:rPr>
        <w:t>1</w:t>
      </w:r>
      <w:r>
        <w:rPr>
          <w:rFonts w:asciiTheme="minorHAnsi" w:eastAsia="Times New Roman" w:hAnsiTheme="minorHAnsi" w:cs="Tahoma"/>
        </w:rPr>
        <w:t>7</w:t>
      </w:r>
      <w:r w:rsidR="00C776A9" w:rsidRPr="0049001B">
        <w:rPr>
          <w:rFonts w:asciiTheme="minorHAnsi" w:eastAsia="Times New Roman" w:hAnsiTheme="minorHAnsi" w:cs="Tahoma"/>
        </w:rPr>
        <w:t xml:space="preserve"> </w:t>
      </w:r>
      <w:r>
        <w:rPr>
          <w:rFonts w:asciiTheme="minorHAnsi" w:eastAsia="Times New Roman" w:hAnsiTheme="minorHAnsi" w:cs="Tahoma"/>
        </w:rPr>
        <w:t>l’</w:t>
      </w:r>
      <w:r w:rsidR="00C12901" w:rsidRPr="0049001B">
        <w:rPr>
          <w:rFonts w:asciiTheme="minorHAnsi" w:eastAsia="Times New Roman" w:hAnsiTheme="minorHAnsi" w:cs="Tahoma"/>
          <w:b/>
        </w:rPr>
        <w:t xml:space="preserve">aumento </w:t>
      </w:r>
      <w:r w:rsidR="00C776A9" w:rsidRPr="0049001B">
        <w:rPr>
          <w:rFonts w:asciiTheme="minorHAnsi" w:eastAsia="Times New Roman" w:hAnsiTheme="minorHAnsi" w:cs="Tahoma"/>
          <w:b/>
        </w:rPr>
        <w:t xml:space="preserve">dell’export del comparto sole-vista </w:t>
      </w:r>
      <w:r>
        <w:rPr>
          <w:rFonts w:asciiTheme="minorHAnsi" w:eastAsia="Times New Roman" w:hAnsiTheme="minorHAnsi" w:cs="Tahoma"/>
          <w:b/>
        </w:rPr>
        <w:t xml:space="preserve">è stato </w:t>
      </w:r>
      <w:r w:rsidR="00C776A9" w:rsidRPr="0049001B">
        <w:rPr>
          <w:rFonts w:asciiTheme="minorHAnsi" w:eastAsia="Times New Roman" w:hAnsiTheme="minorHAnsi" w:cs="Tahoma"/>
          <w:b/>
        </w:rPr>
        <w:t xml:space="preserve">del </w:t>
      </w:r>
      <w:r>
        <w:rPr>
          <w:rFonts w:asciiTheme="minorHAnsi" w:eastAsia="Times New Roman" w:hAnsiTheme="minorHAnsi" w:cs="Tahoma"/>
          <w:b/>
        </w:rPr>
        <w:t>5,3</w:t>
      </w:r>
      <w:r w:rsidR="00C776A9" w:rsidRPr="008A56E3">
        <w:rPr>
          <w:rFonts w:asciiTheme="minorHAnsi" w:eastAsia="Times New Roman" w:hAnsiTheme="minorHAnsi" w:cs="Tahoma"/>
        </w:rPr>
        <w:t>%</w:t>
      </w:r>
      <w:r w:rsidR="00C776A9" w:rsidRPr="0049001B">
        <w:rPr>
          <w:rFonts w:asciiTheme="minorHAnsi" w:eastAsia="Times New Roman" w:hAnsiTheme="minorHAnsi" w:cs="Tahoma"/>
          <w:b/>
        </w:rPr>
        <w:t xml:space="preserve"> rispetto al 20</w:t>
      </w:r>
      <w:r w:rsidR="00FC5C34" w:rsidRPr="0049001B">
        <w:rPr>
          <w:rFonts w:asciiTheme="minorHAnsi" w:eastAsia="Times New Roman" w:hAnsiTheme="minorHAnsi" w:cs="Tahoma"/>
          <w:b/>
        </w:rPr>
        <w:t>1</w:t>
      </w:r>
      <w:r>
        <w:rPr>
          <w:rFonts w:asciiTheme="minorHAnsi" w:eastAsia="Times New Roman" w:hAnsiTheme="minorHAnsi" w:cs="Tahoma"/>
          <w:b/>
        </w:rPr>
        <w:t>6</w:t>
      </w:r>
      <w:r w:rsidR="00AD4E0E">
        <w:rPr>
          <w:rFonts w:asciiTheme="minorHAnsi" w:eastAsia="Times New Roman" w:hAnsiTheme="minorHAnsi" w:cs="Tahoma"/>
          <w:b/>
        </w:rPr>
        <w:t xml:space="preserve"> </w:t>
      </w:r>
      <w:r w:rsidR="00AD4E0E" w:rsidRPr="0049001B">
        <w:rPr>
          <w:rFonts w:asciiTheme="minorHAnsi" w:eastAsia="Times New Roman" w:hAnsiTheme="minorHAnsi" w:cs="Tahoma"/>
        </w:rPr>
        <w:t>(+</w:t>
      </w:r>
      <w:r>
        <w:rPr>
          <w:rFonts w:asciiTheme="minorHAnsi" w:eastAsia="Times New Roman" w:hAnsiTheme="minorHAnsi" w:cs="Tahoma"/>
        </w:rPr>
        <w:t>1,5</w:t>
      </w:r>
      <w:r w:rsidR="00AD4E0E" w:rsidRPr="0049001B">
        <w:rPr>
          <w:rFonts w:asciiTheme="minorHAnsi" w:eastAsia="Times New Roman" w:hAnsiTheme="minorHAnsi" w:cs="Tahoma"/>
        </w:rPr>
        <w:t xml:space="preserve">% per gli occhiali da sole, </w:t>
      </w:r>
      <w:r>
        <w:rPr>
          <w:rFonts w:asciiTheme="minorHAnsi" w:eastAsia="Times New Roman" w:hAnsiTheme="minorHAnsi" w:cs="Tahoma"/>
        </w:rPr>
        <w:t>+16</w:t>
      </w:r>
      <w:r w:rsidR="00AD4E0E" w:rsidRPr="0049001B">
        <w:rPr>
          <w:rFonts w:asciiTheme="minorHAnsi" w:eastAsia="Times New Roman" w:hAnsiTheme="minorHAnsi" w:cs="Tahoma"/>
        </w:rPr>
        <w:t>% per le montature)</w:t>
      </w:r>
      <w:r w:rsidR="00C776A9" w:rsidRPr="0049001B">
        <w:rPr>
          <w:rFonts w:asciiTheme="minorHAnsi" w:eastAsia="Times New Roman" w:hAnsiTheme="minorHAnsi" w:cs="Tahoma"/>
        </w:rPr>
        <w:t xml:space="preserve">. All’interno </w:t>
      </w:r>
      <w:r w:rsidR="005122E8">
        <w:rPr>
          <w:rFonts w:asciiTheme="minorHAnsi" w:eastAsia="Times New Roman" w:hAnsiTheme="minorHAnsi" w:cs="Tahoma"/>
        </w:rPr>
        <w:t xml:space="preserve">da segnalare </w:t>
      </w:r>
      <w:r>
        <w:rPr>
          <w:rFonts w:asciiTheme="minorHAnsi" w:eastAsia="Times New Roman" w:hAnsiTheme="minorHAnsi" w:cs="Tahoma"/>
        </w:rPr>
        <w:t>che entrambe le aree, Nord, Centro e Sud America, hanno registrato variazioni positive per entrambi i comparti.</w:t>
      </w:r>
    </w:p>
    <w:p w:rsidR="00C776A9" w:rsidRPr="0049001B" w:rsidRDefault="00C776A9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</w:p>
    <w:p w:rsidR="00660D5A" w:rsidRPr="00D61C47" w:rsidRDefault="00576F79" w:rsidP="00660D5A">
      <w:pPr>
        <w:pStyle w:val="xl23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hAnsiTheme="minorHAnsi" w:cs="Tahoma"/>
        </w:rPr>
      </w:pPr>
      <w:r w:rsidRPr="00D61C47">
        <w:rPr>
          <w:rFonts w:asciiTheme="minorHAnsi" w:eastAsia="Times New Roman" w:hAnsiTheme="minorHAnsi" w:cs="Tahoma"/>
        </w:rPr>
        <w:t>I</w:t>
      </w:r>
      <w:r w:rsidR="005C4A1F" w:rsidRPr="00D61C47">
        <w:rPr>
          <w:rFonts w:asciiTheme="minorHAnsi" w:eastAsia="Times New Roman" w:hAnsiTheme="minorHAnsi" w:cs="Tahoma"/>
        </w:rPr>
        <w:t>n</w:t>
      </w:r>
      <w:r w:rsidRPr="00D61C47">
        <w:rPr>
          <w:rFonts w:asciiTheme="minorHAnsi" w:eastAsia="Times New Roman" w:hAnsiTheme="minorHAnsi" w:cs="Tahoma"/>
        </w:rPr>
        <w:t xml:space="preserve"> </w:t>
      </w:r>
      <w:r w:rsidR="005C4A1F" w:rsidRPr="00D61C47">
        <w:rPr>
          <w:rFonts w:asciiTheme="minorHAnsi" w:eastAsia="Times New Roman" w:hAnsiTheme="minorHAnsi" w:cs="Tahoma"/>
          <w:b/>
        </w:rPr>
        <w:t>Asia</w:t>
      </w:r>
      <w:r w:rsidR="00660D5A" w:rsidRPr="00D61C47">
        <w:rPr>
          <w:rFonts w:asciiTheme="minorHAnsi" w:eastAsia="Times New Roman" w:hAnsiTheme="minorHAnsi" w:cs="Tahoma"/>
        </w:rPr>
        <w:t>, area che accoglie il 1</w:t>
      </w:r>
      <w:r w:rsidR="003D09F6" w:rsidRPr="00D61C47">
        <w:rPr>
          <w:rFonts w:asciiTheme="minorHAnsi" w:eastAsia="Times New Roman" w:hAnsiTheme="minorHAnsi" w:cs="Tahoma"/>
        </w:rPr>
        <w:t>6</w:t>
      </w:r>
      <w:r w:rsidR="002D30CF" w:rsidRPr="00D61C47">
        <w:rPr>
          <w:rFonts w:asciiTheme="minorHAnsi" w:eastAsia="Times New Roman" w:hAnsiTheme="minorHAnsi" w:cs="Tahoma"/>
        </w:rPr>
        <w:t>,</w:t>
      </w:r>
      <w:r w:rsidR="003D09F6" w:rsidRPr="00D61C47">
        <w:rPr>
          <w:rFonts w:asciiTheme="minorHAnsi" w:eastAsia="Times New Roman" w:hAnsiTheme="minorHAnsi" w:cs="Tahoma"/>
        </w:rPr>
        <w:t>2</w:t>
      </w:r>
      <w:r w:rsidR="00660D5A" w:rsidRPr="00D61C47">
        <w:rPr>
          <w:rFonts w:asciiTheme="minorHAnsi" w:eastAsia="Times New Roman" w:hAnsiTheme="minorHAnsi" w:cs="Tahoma"/>
        </w:rPr>
        <w:t>%</w:t>
      </w:r>
      <w:r w:rsidR="005C4A1F" w:rsidRPr="00D61C47">
        <w:rPr>
          <w:rFonts w:asciiTheme="minorHAnsi" w:eastAsia="Times New Roman" w:hAnsiTheme="minorHAnsi" w:cs="Tahoma"/>
        </w:rPr>
        <w:t xml:space="preserve"> </w:t>
      </w:r>
      <w:r w:rsidR="00660D5A" w:rsidRPr="00D61C47">
        <w:rPr>
          <w:rFonts w:asciiTheme="minorHAnsi" w:eastAsia="Times New Roman" w:hAnsiTheme="minorHAnsi" w:cs="Tahoma"/>
        </w:rPr>
        <w:t>del</w:t>
      </w:r>
      <w:r w:rsidR="005C4A1F" w:rsidRPr="00D61C47">
        <w:rPr>
          <w:rFonts w:asciiTheme="minorHAnsi" w:eastAsia="Times New Roman" w:hAnsiTheme="minorHAnsi" w:cs="Tahoma"/>
        </w:rPr>
        <w:t>le esportazioni italiane di occhiali da sole e montature</w:t>
      </w:r>
      <w:r w:rsidR="00660D5A" w:rsidRPr="00D61C47">
        <w:rPr>
          <w:rFonts w:asciiTheme="minorHAnsi" w:eastAsia="Times New Roman" w:hAnsiTheme="minorHAnsi" w:cs="Tahoma"/>
        </w:rPr>
        <w:t>,</w:t>
      </w:r>
      <w:r w:rsidR="005C4A1F" w:rsidRPr="00D61C47">
        <w:rPr>
          <w:rFonts w:asciiTheme="minorHAnsi" w:eastAsia="Times New Roman" w:hAnsiTheme="minorHAnsi" w:cs="Tahoma"/>
        </w:rPr>
        <w:t xml:space="preserve"> </w:t>
      </w:r>
      <w:r w:rsidRPr="00D61C47">
        <w:rPr>
          <w:rFonts w:asciiTheme="minorHAnsi" w:eastAsia="Times New Roman" w:hAnsiTheme="minorHAnsi" w:cs="Tahoma"/>
        </w:rPr>
        <w:t xml:space="preserve">la </w:t>
      </w:r>
      <w:r w:rsidRPr="00D61C47">
        <w:rPr>
          <w:rFonts w:asciiTheme="minorHAnsi" w:eastAsia="Times New Roman" w:hAnsiTheme="minorHAnsi" w:cs="Tahoma"/>
          <w:b/>
        </w:rPr>
        <w:t>variazione tendenziale dell’export nel 201</w:t>
      </w:r>
      <w:r w:rsidR="00F7649A" w:rsidRPr="00D61C47">
        <w:rPr>
          <w:rFonts w:asciiTheme="minorHAnsi" w:eastAsia="Times New Roman" w:hAnsiTheme="minorHAnsi" w:cs="Tahoma"/>
          <w:b/>
        </w:rPr>
        <w:t>7</w:t>
      </w:r>
      <w:r w:rsidRPr="00D61C47">
        <w:rPr>
          <w:rFonts w:asciiTheme="minorHAnsi" w:eastAsia="Times New Roman" w:hAnsiTheme="minorHAnsi" w:cs="Tahoma"/>
          <w:b/>
        </w:rPr>
        <w:t xml:space="preserve"> è stata </w:t>
      </w:r>
      <w:r w:rsidR="005122E8" w:rsidRPr="00D61C47">
        <w:rPr>
          <w:rFonts w:asciiTheme="minorHAnsi" w:eastAsia="Times New Roman" w:hAnsiTheme="minorHAnsi" w:cs="Tahoma"/>
          <w:b/>
        </w:rPr>
        <w:t>negativa</w:t>
      </w:r>
      <w:r w:rsidR="00F7649A" w:rsidRPr="00D61C47">
        <w:rPr>
          <w:rFonts w:asciiTheme="minorHAnsi" w:eastAsia="Times New Roman" w:hAnsiTheme="minorHAnsi" w:cs="Tahoma"/>
          <w:b/>
        </w:rPr>
        <w:t>, -</w:t>
      </w:r>
      <w:r w:rsidR="00D61C47" w:rsidRPr="00D61C47">
        <w:rPr>
          <w:rFonts w:asciiTheme="minorHAnsi" w:eastAsia="Times New Roman" w:hAnsiTheme="minorHAnsi" w:cs="Tahoma"/>
          <w:b/>
        </w:rPr>
        <w:t>4,3%</w:t>
      </w:r>
      <w:r w:rsidR="005122E8" w:rsidRPr="00D61C47">
        <w:rPr>
          <w:rFonts w:asciiTheme="minorHAnsi" w:eastAsia="Times New Roman" w:hAnsiTheme="minorHAnsi" w:cs="Tahoma"/>
        </w:rPr>
        <w:t xml:space="preserve">. </w:t>
      </w:r>
      <w:r w:rsidR="00D61C47" w:rsidRPr="00D61C47">
        <w:rPr>
          <w:rFonts w:asciiTheme="minorHAnsi" w:eastAsia="Times New Roman" w:hAnsiTheme="minorHAnsi" w:cs="Tahoma"/>
        </w:rPr>
        <w:t xml:space="preserve">Analoga </w:t>
      </w:r>
      <w:r w:rsidR="005122E8" w:rsidRPr="00D61C47">
        <w:rPr>
          <w:rFonts w:asciiTheme="minorHAnsi" w:eastAsia="Times New Roman" w:hAnsiTheme="minorHAnsi" w:cs="Tahoma"/>
        </w:rPr>
        <w:t>la performance dell’export di occhiali da sole (</w:t>
      </w:r>
      <w:r w:rsidR="00D61C47" w:rsidRPr="00D61C47">
        <w:rPr>
          <w:rFonts w:asciiTheme="minorHAnsi" w:eastAsia="Times New Roman" w:hAnsiTheme="minorHAnsi" w:cs="Tahoma"/>
        </w:rPr>
        <w:t>-4</w:t>
      </w:r>
      <w:r w:rsidR="005122E8" w:rsidRPr="00D61C47">
        <w:rPr>
          <w:rFonts w:asciiTheme="minorHAnsi" w:eastAsia="Times New Roman" w:hAnsiTheme="minorHAnsi" w:cs="Tahoma"/>
        </w:rPr>
        <w:t>,</w:t>
      </w:r>
      <w:r w:rsidR="00D61C47" w:rsidRPr="00D61C47">
        <w:rPr>
          <w:rFonts w:asciiTheme="minorHAnsi" w:eastAsia="Times New Roman" w:hAnsiTheme="minorHAnsi" w:cs="Tahoma"/>
        </w:rPr>
        <w:t>5</w:t>
      </w:r>
      <w:r w:rsidR="005122E8" w:rsidRPr="00D61C47">
        <w:rPr>
          <w:rFonts w:asciiTheme="minorHAnsi" w:eastAsia="Times New Roman" w:hAnsiTheme="minorHAnsi" w:cs="Tahoma"/>
        </w:rPr>
        <w:t xml:space="preserve">%) </w:t>
      </w:r>
      <w:r w:rsidR="00D61C47" w:rsidRPr="00D61C47">
        <w:rPr>
          <w:rFonts w:asciiTheme="minorHAnsi" w:eastAsia="Times New Roman" w:hAnsiTheme="minorHAnsi" w:cs="Tahoma"/>
        </w:rPr>
        <w:t xml:space="preserve">e di </w:t>
      </w:r>
      <w:r w:rsidR="005122E8" w:rsidRPr="00D61C47">
        <w:rPr>
          <w:rFonts w:asciiTheme="minorHAnsi" w:eastAsia="Times New Roman" w:hAnsiTheme="minorHAnsi" w:cs="Tahoma"/>
        </w:rPr>
        <w:t>montature</w:t>
      </w:r>
      <w:r w:rsidR="00D61C47" w:rsidRPr="00D61C47">
        <w:rPr>
          <w:rFonts w:asciiTheme="minorHAnsi" w:eastAsia="Times New Roman" w:hAnsiTheme="minorHAnsi" w:cs="Tahoma"/>
        </w:rPr>
        <w:t xml:space="preserve"> (</w:t>
      </w:r>
      <w:r w:rsidR="005122E8" w:rsidRPr="00D61C47">
        <w:rPr>
          <w:rFonts w:asciiTheme="minorHAnsi" w:eastAsia="Times New Roman" w:hAnsiTheme="minorHAnsi" w:cs="Tahoma"/>
        </w:rPr>
        <w:t>-</w:t>
      </w:r>
      <w:r w:rsidR="00D61C47" w:rsidRPr="00D61C47">
        <w:rPr>
          <w:rFonts w:asciiTheme="minorHAnsi" w:eastAsia="Times New Roman" w:hAnsiTheme="minorHAnsi" w:cs="Tahoma"/>
        </w:rPr>
        <w:t>3</w:t>
      </w:r>
      <w:r w:rsidR="006E1864" w:rsidRPr="00D61C47">
        <w:rPr>
          <w:rFonts w:asciiTheme="minorHAnsi" w:eastAsia="Times New Roman" w:hAnsiTheme="minorHAnsi" w:cs="Tahoma"/>
        </w:rPr>
        <w:t>,</w:t>
      </w:r>
      <w:r w:rsidR="00D61C47" w:rsidRPr="00D61C47">
        <w:rPr>
          <w:rFonts w:asciiTheme="minorHAnsi" w:eastAsia="Times New Roman" w:hAnsiTheme="minorHAnsi" w:cs="Tahoma"/>
        </w:rPr>
        <w:t>6</w:t>
      </w:r>
      <w:r w:rsidR="005C4A1F" w:rsidRPr="00D61C47">
        <w:rPr>
          <w:rFonts w:asciiTheme="minorHAnsi" w:eastAsia="Times New Roman" w:hAnsiTheme="minorHAnsi" w:cs="Tahoma"/>
        </w:rPr>
        <w:t>%</w:t>
      </w:r>
      <w:r w:rsidR="00D61C47" w:rsidRPr="00D61C47">
        <w:rPr>
          <w:rFonts w:asciiTheme="minorHAnsi" w:eastAsia="Times New Roman" w:hAnsiTheme="minorHAnsi" w:cs="Tahoma"/>
        </w:rPr>
        <w:t>)</w:t>
      </w:r>
      <w:r w:rsidR="006E1864" w:rsidRPr="00D61C47">
        <w:rPr>
          <w:rFonts w:asciiTheme="minorHAnsi" w:eastAsia="Times New Roman" w:hAnsiTheme="minorHAnsi" w:cs="Tahoma"/>
          <w:b/>
        </w:rPr>
        <w:t>.</w:t>
      </w:r>
      <w:r w:rsidR="006E1864" w:rsidRPr="00D61C47">
        <w:rPr>
          <w:rFonts w:asciiTheme="minorHAnsi" w:eastAsia="Times New Roman" w:hAnsiTheme="minorHAnsi" w:cs="Tahoma"/>
        </w:rPr>
        <w:t xml:space="preserve"> </w:t>
      </w:r>
    </w:p>
    <w:p w:rsidR="00D61C47" w:rsidRDefault="00D61C47" w:rsidP="00D61C47">
      <w:pPr>
        <w:pStyle w:val="Paragrafoelenco"/>
        <w:rPr>
          <w:rFonts w:asciiTheme="minorHAnsi" w:hAnsiTheme="minorHAnsi" w:cs="Tahoma"/>
        </w:rPr>
      </w:pPr>
    </w:p>
    <w:p w:rsidR="001444C2" w:rsidRDefault="00720338" w:rsidP="00660D5A">
      <w:pPr>
        <w:pStyle w:val="xl23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L’</w:t>
      </w:r>
      <w:r w:rsidR="00D61C47" w:rsidRPr="00720338">
        <w:rPr>
          <w:rFonts w:asciiTheme="minorHAnsi" w:hAnsiTheme="minorHAnsi" w:cs="Tahoma"/>
          <w:b/>
        </w:rPr>
        <w:t>Africa</w:t>
      </w:r>
      <w:r w:rsidR="00D61C47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è un’area che assorbe una quota di esportazioni del settore inferiore al 2%</w:t>
      </w:r>
      <w:r w:rsidR="001444C2">
        <w:rPr>
          <w:rFonts w:asciiTheme="minorHAnsi" w:hAnsiTheme="minorHAnsi" w:cs="Tahoma"/>
        </w:rPr>
        <w:t xml:space="preserve">, ma che racchiude un buon potenziale al momento ancora inespresso. Nel 2017 le esportazioni di montature sono cresciute in valore del 20,4%, mentre quelle di occhiali da sole sono calate dell’8,2%. Complessivamente si è riscontrata una </w:t>
      </w:r>
      <w:r w:rsidR="001444C2" w:rsidRPr="00FC28FD">
        <w:rPr>
          <w:rFonts w:asciiTheme="minorHAnsi" w:hAnsiTheme="minorHAnsi" w:cs="Tahoma"/>
          <w:b/>
        </w:rPr>
        <w:t>flession</w:t>
      </w:r>
      <w:r w:rsidR="00D61C47" w:rsidRPr="00FC28FD">
        <w:rPr>
          <w:rFonts w:asciiTheme="minorHAnsi" w:hAnsiTheme="minorHAnsi" w:cs="Tahoma"/>
          <w:b/>
        </w:rPr>
        <w:t>e</w:t>
      </w:r>
      <w:r w:rsidR="001444C2" w:rsidRPr="00FC28FD">
        <w:rPr>
          <w:rFonts w:asciiTheme="minorHAnsi" w:hAnsiTheme="minorHAnsi" w:cs="Tahoma"/>
          <w:b/>
        </w:rPr>
        <w:t xml:space="preserve"> dell’1,6%</w:t>
      </w:r>
      <w:r w:rsidR="001444C2">
        <w:rPr>
          <w:rFonts w:asciiTheme="minorHAnsi" w:hAnsiTheme="minorHAnsi" w:cs="Tahoma"/>
        </w:rPr>
        <w:t xml:space="preserve"> rispetto al 2016.</w:t>
      </w:r>
    </w:p>
    <w:p w:rsidR="001444C2" w:rsidRDefault="001444C2" w:rsidP="001444C2">
      <w:pPr>
        <w:pStyle w:val="Paragrafoelenco"/>
        <w:rPr>
          <w:rFonts w:asciiTheme="minorHAnsi" w:hAnsiTheme="minorHAnsi" w:cs="Tahoma"/>
        </w:rPr>
      </w:pPr>
    </w:p>
    <w:p w:rsidR="00D61C47" w:rsidRPr="00D61C47" w:rsidRDefault="001444C2" w:rsidP="00660D5A">
      <w:pPr>
        <w:pStyle w:val="xl23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L’</w:t>
      </w:r>
      <w:r w:rsidR="00D61C47" w:rsidRPr="00FC28FD">
        <w:rPr>
          <w:rFonts w:asciiTheme="minorHAnsi" w:hAnsiTheme="minorHAnsi" w:cs="Tahoma"/>
          <w:b/>
        </w:rPr>
        <w:t>Oceania</w:t>
      </w:r>
      <w:r w:rsidR="00D61C47">
        <w:rPr>
          <w:rFonts w:asciiTheme="minorHAnsi" w:hAnsiTheme="minorHAnsi" w:cs="Tahoma"/>
        </w:rPr>
        <w:t xml:space="preserve"> resta</w:t>
      </w:r>
      <w:r w:rsidR="00FC28FD">
        <w:rPr>
          <w:rFonts w:asciiTheme="minorHAnsi" w:hAnsiTheme="minorHAnsi" w:cs="Tahoma"/>
        </w:rPr>
        <w:t xml:space="preserve"> un’area marginale.</w:t>
      </w:r>
      <w:r w:rsidR="00D61C47">
        <w:rPr>
          <w:rFonts w:asciiTheme="minorHAnsi" w:hAnsiTheme="minorHAnsi" w:cs="Tahoma"/>
        </w:rPr>
        <w:t xml:space="preserve"> </w:t>
      </w:r>
    </w:p>
    <w:p w:rsidR="00D61C47" w:rsidRPr="00D61C47" w:rsidRDefault="00D61C47" w:rsidP="00D61C47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hAnsiTheme="minorHAnsi" w:cs="Tahoma"/>
        </w:rPr>
      </w:pPr>
    </w:p>
    <w:p w:rsidR="00BF176A" w:rsidRPr="00BF176A" w:rsidRDefault="00BF176A" w:rsidP="00BF176A">
      <w:pPr>
        <w:pStyle w:val="Paragrafoelenco"/>
        <w:numPr>
          <w:ilvl w:val="0"/>
          <w:numId w:val="4"/>
        </w:numPr>
        <w:rPr>
          <w:rFonts w:asciiTheme="minorHAnsi" w:hAnsiTheme="minorHAnsi" w:cs="Tahoma"/>
          <w:sz w:val="24"/>
        </w:rPr>
      </w:pPr>
      <w:r w:rsidRPr="00BF176A">
        <w:rPr>
          <w:rFonts w:asciiTheme="minorHAnsi" w:hAnsiTheme="minorHAnsi" w:cs="Tahoma"/>
          <w:sz w:val="24"/>
        </w:rPr>
        <w:t xml:space="preserve">A livello di mercati di approvvigionamento </w:t>
      </w:r>
      <w:r w:rsidR="00BB4B1C">
        <w:rPr>
          <w:rFonts w:asciiTheme="minorHAnsi" w:hAnsiTheme="minorHAnsi" w:cs="Tahoma"/>
          <w:sz w:val="24"/>
        </w:rPr>
        <w:t xml:space="preserve">si conferma la </w:t>
      </w:r>
      <w:r w:rsidRPr="00BF176A">
        <w:rPr>
          <w:rFonts w:asciiTheme="minorHAnsi" w:hAnsiTheme="minorHAnsi" w:cs="Tahoma"/>
          <w:sz w:val="24"/>
        </w:rPr>
        <w:t>predomina</w:t>
      </w:r>
      <w:r w:rsidR="00BB4B1C">
        <w:rPr>
          <w:rFonts w:asciiTheme="minorHAnsi" w:hAnsiTheme="minorHAnsi" w:cs="Tahoma"/>
          <w:sz w:val="24"/>
        </w:rPr>
        <w:t>nza del</w:t>
      </w:r>
      <w:r w:rsidRPr="00BF176A">
        <w:rPr>
          <w:rFonts w:asciiTheme="minorHAnsi" w:hAnsiTheme="minorHAnsi" w:cs="Tahoma"/>
          <w:sz w:val="24"/>
        </w:rPr>
        <w:t>l’</w:t>
      </w:r>
      <w:r w:rsidRPr="00C97618">
        <w:rPr>
          <w:rFonts w:asciiTheme="minorHAnsi" w:hAnsiTheme="minorHAnsi" w:cs="Tahoma"/>
          <w:b/>
          <w:sz w:val="24"/>
        </w:rPr>
        <w:t>import</w:t>
      </w:r>
      <w:r w:rsidRPr="00BF176A">
        <w:rPr>
          <w:rFonts w:asciiTheme="minorHAnsi" w:hAnsiTheme="minorHAnsi" w:cs="Tahoma"/>
          <w:sz w:val="24"/>
        </w:rPr>
        <w:t xml:space="preserve"> proveniente dall’Asia con una quota </w:t>
      </w:r>
      <w:r w:rsidR="00FC28FD">
        <w:rPr>
          <w:rFonts w:asciiTheme="minorHAnsi" w:hAnsiTheme="minorHAnsi" w:cs="Tahoma"/>
          <w:sz w:val="24"/>
        </w:rPr>
        <w:t xml:space="preserve">vicina al </w:t>
      </w:r>
      <w:r w:rsidR="00D07428">
        <w:rPr>
          <w:rFonts w:asciiTheme="minorHAnsi" w:hAnsiTheme="minorHAnsi" w:cs="Tahoma"/>
          <w:sz w:val="24"/>
        </w:rPr>
        <w:t>7</w:t>
      </w:r>
      <w:r w:rsidR="00FC28FD">
        <w:rPr>
          <w:rFonts w:asciiTheme="minorHAnsi" w:hAnsiTheme="minorHAnsi" w:cs="Tahoma"/>
          <w:sz w:val="24"/>
        </w:rPr>
        <w:t>5</w:t>
      </w:r>
      <w:r w:rsidRPr="00BF176A">
        <w:rPr>
          <w:rFonts w:asciiTheme="minorHAnsi" w:hAnsiTheme="minorHAnsi" w:cs="Tahoma"/>
          <w:sz w:val="24"/>
        </w:rPr>
        <w:t>%.</w:t>
      </w:r>
    </w:p>
    <w:p w:rsidR="00BF176A" w:rsidRPr="009B18F9" w:rsidRDefault="00BF176A" w:rsidP="00BF176A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27"/>
        <w:jc w:val="both"/>
        <w:rPr>
          <w:rFonts w:asciiTheme="minorHAnsi" w:eastAsia="Times New Roman" w:hAnsiTheme="minorHAnsi" w:cs="Tahoma"/>
        </w:rPr>
      </w:pPr>
    </w:p>
    <w:p w:rsidR="00C776A9" w:rsidRPr="0049001B" w:rsidRDefault="00C776A9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4B32DC">
        <w:rPr>
          <w:rFonts w:asciiTheme="minorHAnsi" w:eastAsia="Times New Roman" w:hAnsiTheme="minorHAnsi" w:cs="Tahoma"/>
        </w:rPr>
        <w:t>Dal punto di vista dell’analisi</w:t>
      </w:r>
      <w:r w:rsidRPr="0049001B">
        <w:rPr>
          <w:rFonts w:asciiTheme="minorHAnsi" w:eastAsia="Times New Roman" w:hAnsiTheme="minorHAnsi" w:cs="Tahoma"/>
        </w:rPr>
        <w:t xml:space="preserve"> per </w:t>
      </w:r>
      <w:r w:rsidRPr="0049001B">
        <w:rPr>
          <w:rFonts w:asciiTheme="minorHAnsi" w:eastAsia="Times New Roman" w:hAnsiTheme="minorHAnsi" w:cs="Tahoma"/>
          <w:b/>
          <w:u w:val="single"/>
        </w:rPr>
        <w:t>singoli paesi</w:t>
      </w:r>
      <w:r w:rsidRPr="0049001B">
        <w:rPr>
          <w:rFonts w:asciiTheme="minorHAnsi" w:eastAsia="Times New Roman" w:hAnsiTheme="minorHAnsi" w:cs="Tahoma"/>
        </w:rPr>
        <w:t xml:space="preserve"> di esportazione </w:t>
      </w:r>
      <w:r w:rsidR="00701BC7">
        <w:rPr>
          <w:rFonts w:asciiTheme="minorHAnsi" w:eastAsia="Times New Roman" w:hAnsiTheme="minorHAnsi" w:cs="Tahoma"/>
        </w:rPr>
        <w:t>possiamo notare</w:t>
      </w:r>
      <w:r w:rsidRPr="0049001B">
        <w:rPr>
          <w:rFonts w:asciiTheme="minorHAnsi" w:eastAsia="Times New Roman" w:hAnsiTheme="minorHAnsi" w:cs="Tahoma"/>
        </w:rPr>
        <w:t>:</w:t>
      </w:r>
    </w:p>
    <w:p w:rsidR="00C776A9" w:rsidRPr="0049001B" w:rsidRDefault="00C776A9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</w:p>
    <w:p w:rsidR="00C776A9" w:rsidRPr="0049001B" w:rsidRDefault="00C776A9" w:rsidP="00C776A9">
      <w:pPr>
        <w:pStyle w:val="xl23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064AE0">
        <w:rPr>
          <w:rFonts w:asciiTheme="minorHAnsi" w:eastAsia="Times New Roman" w:hAnsiTheme="minorHAnsi" w:cs="Tahoma"/>
        </w:rPr>
        <w:t xml:space="preserve">negli </w:t>
      </w:r>
      <w:r w:rsidRPr="00064AE0">
        <w:rPr>
          <w:rFonts w:asciiTheme="minorHAnsi" w:eastAsia="Times New Roman" w:hAnsiTheme="minorHAnsi" w:cs="Tahoma"/>
          <w:b/>
        </w:rPr>
        <w:t>Stati Uniti</w:t>
      </w:r>
      <w:r w:rsidRPr="0049001B">
        <w:rPr>
          <w:rFonts w:asciiTheme="minorHAnsi" w:eastAsia="Times New Roman" w:hAnsiTheme="minorHAnsi" w:cs="Tahoma"/>
        </w:rPr>
        <w:t xml:space="preserve"> (</w:t>
      </w:r>
      <w:r w:rsidR="0086146D" w:rsidRPr="0049001B">
        <w:rPr>
          <w:rFonts w:asciiTheme="minorHAnsi" w:eastAsia="Times New Roman" w:hAnsiTheme="minorHAnsi" w:cs="Tahoma"/>
        </w:rPr>
        <w:t xml:space="preserve">da sempre </w:t>
      </w:r>
      <w:r w:rsidRPr="0049001B">
        <w:rPr>
          <w:rFonts w:asciiTheme="minorHAnsi" w:eastAsia="Times New Roman" w:hAnsiTheme="minorHAnsi" w:cs="Tahoma"/>
        </w:rPr>
        <w:t xml:space="preserve">primo mercato di riferimento </w:t>
      </w:r>
      <w:r w:rsidR="00943FC4" w:rsidRPr="0049001B">
        <w:rPr>
          <w:rFonts w:asciiTheme="minorHAnsi" w:eastAsia="Times New Roman" w:hAnsiTheme="minorHAnsi" w:cs="Tahoma"/>
        </w:rPr>
        <w:t>per il settore</w:t>
      </w:r>
      <w:r w:rsidR="0086146D" w:rsidRPr="0049001B">
        <w:rPr>
          <w:rFonts w:asciiTheme="minorHAnsi" w:eastAsia="Times New Roman" w:hAnsiTheme="minorHAnsi" w:cs="Tahoma"/>
        </w:rPr>
        <w:t>, nel 201</w:t>
      </w:r>
      <w:r w:rsidR="000768E8">
        <w:rPr>
          <w:rFonts w:asciiTheme="minorHAnsi" w:eastAsia="Times New Roman" w:hAnsiTheme="minorHAnsi" w:cs="Tahoma"/>
        </w:rPr>
        <w:t>7</w:t>
      </w:r>
      <w:r w:rsidR="00943FC4" w:rsidRPr="0049001B">
        <w:rPr>
          <w:rFonts w:asciiTheme="minorHAnsi" w:eastAsia="Times New Roman" w:hAnsiTheme="minorHAnsi" w:cs="Tahoma"/>
        </w:rPr>
        <w:t xml:space="preserve"> </w:t>
      </w:r>
      <w:r w:rsidRPr="0049001B">
        <w:rPr>
          <w:rFonts w:asciiTheme="minorHAnsi" w:eastAsia="Times New Roman" w:hAnsiTheme="minorHAnsi" w:cs="Tahoma"/>
        </w:rPr>
        <w:t xml:space="preserve">con una quota </w:t>
      </w:r>
      <w:r w:rsidR="000768E8">
        <w:rPr>
          <w:rFonts w:asciiTheme="minorHAnsi" w:eastAsia="Times New Roman" w:hAnsiTheme="minorHAnsi" w:cs="Tahoma"/>
        </w:rPr>
        <w:t>vicina al 26</w:t>
      </w:r>
      <w:r w:rsidRPr="0049001B">
        <w:rPr>
          <w:rFonts w:asciiTheme="minorHAnsi" w:eastAsia="Times New Roman" w:hAnsiTheme="minorHAnsi" w:cs="Tahoma"/>
        </w:rPr>
        <w:t xml:space="preserve">%) </w:t>
      </w:r>
      <w:r w:rsidRPr="0049001B">
        <w:rPr>
          <w:rFonts w:asciiTheme="minorHAnsi" w:eastAsia="Times New Roman" w:hAnsiTheme="minorHAnsi" w:cs="Tahoma"/>
          <w:b/>
        </w:rPr>
        <w:t xml:space="preserve">l’export complessivo </w:t>
      </w:r>
      <w:r w:rsidR="000768E8">
        <w:rPr>
          <w:rFonts w:asciiTheme="minorHAnsi" w:eastAsia="Times New Roman" w:hAnsiTheme="minorHAnsi" w:cs="Tahoma"/>
          <w:b/>
        </w:rPr>
        <w:t xml:space="preserve">di montature e occhiali da sole </w:t>
      </w:r>
      <w:r w:rsidRPr="0049001B">
        <w:rPr>
          <w:rFonts w:asciiTheme="minorHAnsi" w:eastAsia="Times New Roman" w:hAnsiTheme="minorHAnsi" w:cs="Tahoma"/>
          <w:b/>
        </w:rPr>
        <w:t xml:space="preserve">ha </w:t>
      </w:r>
      <w:r w:rsidR="000768E8">
        <w:rPr>
          <w:rFonts w:asciiTheme="minorHAnsi" w:eastAsia="Times New Roman" w:hAnsiTheme="minorHAnsi" w:cs="Tahoma"/>
          <w:b/>
        </w:rPr>
        <w:t xml:space="preserve">registrato un </w:t>
      </w:r>
      <w:r w:rsidR="00943FC4" w:rsidRPr="0049001B">
        <w:rPr>
          <w:rFonts w:asciiTheme="minorHAnsi" w:eastAsia="Times New Roman" w:hAnsiTheme="minorHAnsi" w:cs="Tahoma"/>
        </w:rPr>
        <w:t>+</w:t>
      </w:r>
      <w:r w:rsidR="000768E8">
        <w:rPr>
          <w:rFonts w:asciiTheme="minorHAnsi" w:eastAsia="Times New Roman" w:hAnsiTheme="minorHAnsi" w:cs="Tahoma"/>
          <w:b/>
        </w:rPr>
        <w:t>3</w:t>
      </w:r>
      <w:r w:rsidRPr="0049001B">
        <w:rPr>
          <w:rFonts w:asciiTheme="minorHAnsi" w:eastAsia="Times New Roman" w:hAnsiTheme="minorHAnsi" w:cs="Tahoma"/>
          <w:b/>
        </w:rPr>
        <w:t>,</w:t>
      </w:r>
      <w:r w:rsidR="000768E8">
        <w:rPr>
          <w:rFonts w:asciiTheme="minorHAnsi" w:eastAsia="Times New Roman" w:hAnsiTheme="minorHAnsi" w:cs="Tahoma"/>
          <w:b/>
        </w:rPr>
        <w:t>1</w:t>
      </w:r>
      <w:r w:rsidRPr="008A56E3">
        <w:rPr>
          <w:rFonts w:asciiTheme="minorHAnsi" w:eastAsia="Times New Roman" w:hAnsiTheme="minorHAnsi" w:cs="Tahoma"/>
        </w:rPr>
        <w:t>%</w:t>
      </w:r>
      <w:r w:rsidRPr="0049001B">
        <w:rPr>
          <w:rFonts w:asciiTheme="minorHAnsi" w:eastAsia="Times New Roman" w:hAnsiTheme="minorHAnsi" w:cs="Tahoma"/>
          <w:b/>
        </w:rPr>
        <w:t xml:space="preserve"> </w:t>
      </w:r>
      <w:r w:rsidRPr="0049001B">
        <w:rPr>
          <w:rFonts w:asciiTheme="minorHAnsi" w:eastAsia="Times New Roman" w:hAnsiTheme="minorHAnsi" w:cs="Tahoma"/>
        </w:rPr>
        <w:t>rispetto al 20</w:t>
      </w:r>
      <w:r w:rsidR="00566270" w:rsidRPr="0049001B">
        <w:rPr>
          <w:rFonts w:asciiTheme="minorHAnsi" w:eastAsia="Times New Roman" w:hAnsiTheme="minorHAnsi" w:cs="Tahoma"/>
        </w:rPr>
        <w:t>1</w:t>
      </w:r>
      <w:r w:rsidR="00FD5C32">
        <w:rPr>
          <w:rFonts w:asciiTheme="minorHAnsi" w:eastAsia="Times New Roman" w:hAnsiTheme="minorHAnsi" w:cs="Tahoma"/>
        </w:rPr>
        <w:t>6</w:t>
      </w:r>
      <w:r w:rsidR="000768E8">
        <w:rPr>
          <w:rFonts w:asciiTheme="minorHAnsi" w:eastAsia="Times New Roman" w:hAnsiTheme="minorHAnsi" w:cs="Tahoma"/>
        </w:rPr>
        <w:t xml:space="preserve">. A trainare questa crescita, sono state le montature da vista, le cui esportazioni in valore sono aumentate del 12,7%. </w:t>
      </w:r>
      <w:r w:rsidR="00FD5C32">
        <w:rPr>
          <w:rFonts w:asciiTheme="minorHAnsi" w:eastAsia="Times New Roman" w:hAnsiTheme="minorHAnsi" w:cs="Tahoma"/>
        </w:rPr>
        <w:t>Le esportazioni di o</w:t>
      </w:r>
      <w:r w:rsidR="0086146D" w:rsidRPr="0049001B">
        <w:rPr>
          <w:rFonts w:asciiTheme="minorHAnsi" w:eastAsia="Times New Roman" w:hAnsiTheme="minorHAnsi" w:cs="Tahoma"/>
        </w:rPr>
        <w:t>cchiali da sole</w:t>
      </w:r>
      <w:r w:rsidR="000768E8">
        <w:rPr>
          <w:rFonts w:asciiTheme="minorHAnsi" w:eastAsia="Times New Roman" w:hAnsiTheme="minorHAnsi" w:cs="Tahoma"/>
        </w:rPr>
        <w:t>,</w:t>
      </w:r>
      <w:r w:rsidR="0086146D" w:rsidRPr="0049001B">
        <w:rPr>
          <w:rFonts w:asciiTheme="minorHAnsi" w:eastAsia="Times New Roman" w:hAnsiTheme="minorHAnsi" w:cs="Tahoma"/>
        </w:rPr>
        <w:t xml:space="preserve"> </w:t>
      </w:r>
      <w:r w:rsidR="000768E8">
        <w:rPr>
          <w:rFonts w:asciiTheme="minorHAnsi" w:eastAsia="Times New Roman" w:hAnsiTheme="minorHAnsi" w:cs="Tahoma"/>
        </w:rPr>
        <w:t xml:space="preserve">invece, </w:t>
      </w:r>
      <w:r w:rsidR="00FD5C32">
        <w:rPr>
          <w:rFonts w:asciiTheme="minorHAnsi" w:eastAsia="Times New Roman" w:hAnsiTheme="minorHAnsi" w:cs="Tahoma"/>
        </w:rPr>
        <w:t xml:space="preserve">hanno chiuso l’anno </w:t>
      </w:r>
      <w:r w:rsidR="000768E8">
        <w:rPr>
          <w:rFonts w:asciiTheme="minorHAnsi" w:eastAsia="Times New Roman" w:hAnsiTheme="minorHAnsi" w:cs="Tahoma"/>
        </w:rPr>
        <w:t xml:space="preserve">sottotono, </w:t>
      </w:r>
      <w:r w:rsidR="00FD5C32">
        <w:rPr>
          <w:rFonts w:asciiTheme="minorHAnsi" w:eastAsia="Times New Roman" w:hAnsiTheme="minorHAnsi" w:cs="Tahoma"/>
        </w:rPr>
        <w:t>sostanzialmente stabili</w:t>
      </w:r>
      <w:r w:rsidR="003E6BEA">
        <w:rPr>
          <w:rFonts w:asciiTheme="minorHAnsi" w:eastAsia="Times New Roman" w:hAnsiTheme="minorHAnsi" w:cs="Tahoma"/>
        </w:rPr>
        <w:t xml:space="preserve"> (</w:t>
      </w:r>
      <w:r w:rsidR="000768E8">
        <w:rPr>
          <w:rFonts w:asciiTheme="minorHAnsi" w:eastAsia="Times New Roman" w:hAnsiTheme="minorHAnsi" w:cs="Tahoma"/>
        </w:rPr>
        <w:t>-</w:t>
      </w:r>
      <w:r w:rsidR="00FD5C32">
        <w:rPr>
          <w:rFonts w:asciiTheme="minorHAnsi" w:eastAsia="Times New Roman" w:hAnsiTheme="minorHAnsi" w:cs="Tahoma"/>
        </w:rPr>
        <w:t>0</w:t>
      </w:r>
      <w:r w:rsidR="003E6BEA">
        <w:rPr>
          <w:rFonts w:asciiTheme="minorHAnsi" w:eastAsia="Times New Roman" w:hAnsiTheme="minorHAnsi" w:cs="Tahoma"/>
        </w:rPr>
        <w:t>,</w:t>
      </w:r>
      <w:r w:rsidR="000768E8">
        <w:rPr>
          <w:rFonts w:asciiTheme="minorHAnsi" w:eastAsia="Times New Roman" w:hAnsiTheme="minorHAnsi" w:cs="Tahoma"/>
        </w:rPr>
        <w:t>3</w:t>
      </w:r>
      <w:r w:rsidR="003E6BEA">
        <w:rPr>
          <w:rFonts w:asciiTheme="minorHAnsi" w:eastAsia="Times New Roman" w:hAnsiTheme="minorHAnsi" w:cs="Tahoma"/>
        </w:rPr>
        <w:t>%)</w:t>
      </w:r>
      <w:r w:rsidR="00FD5C32">
        <w:rPr>
          <w:rFonts w:asciiTheme="minorHAnsi" w:eastAsia="Times New Roman" w:hAnsiTheme="minorHAnsi" w:cs="Tahoma"/>
        </w:rPr>
        <w:t>.</w:t>
      </w:r>
      <w:r w:rsidR="003E6BEA">
        <w:rPr>
          <w:rFonts w:asciiTheme="minorHAnsi" w:eastAsia="Times New Roman" w:hAnsiTheme="minorHAnsi" w:cs="Tahoma"/>
        </w:rPr>
        <w:t xml:space="preserve"> </w:t>
      </w:r>
    </w:p>
    <w:p w:rsidR="0086146D" w:rsidRPr="0049001B" w:rsidRDefault="0086146D" w:rsidP="0086146D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27"/>
        <w:jc w:val="both"/>
        <w:rPr>
          <w:rFonts w:asciiTheme="minorHAnsi" w:eastAsia="Times New Roman" w:hAnsiTheme="minorHAnsi" w:cs="Tahoma"/>
        </w:rPr>
      </w:pPr>
    </w:p>
    <w:p w:rsidR="003946A9" w:rsidRDefault="001F09B4" w:rsidP="003946A9">
      <w:pPr>
        <w:pStyle w:val="xl23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</w:rPr>
        <w:t>Nel V</w:t>
      </w:r>
      <w:r w:rsidR="00FD5C32">
        <w:rPr>
          <w:rFonts w:asciiTheme="minorHAnsi" w:eastAsia="Times New Roman" w:hAnsiTheme="minorHAnsi" w:cs="Tahoma"/>
        </w:rPr>
        <w:t xml:space="preserve">ecchio Continente </w:t>
      </w:r>
      <w:r>
        <w:rPr>
          <w:rFonts w:asciiTheme="minorHAnsi" w:eastAsia="Times New Roman" w:hAnsiTheme="minorHAnsi" w:cs="Tahoma"/>
        </w:rPr>
        <w:t xml:space="preserve">il protagonista indiscusso nel 2017 è stato l’export di occhiali da sole. Così come era accaduto nel 2016, infatti, il </w:t>
      </w:r>
      <w:r w:rsidR="006F6CE4" w:rsidRPr="003946A9">
        <w:rPr>
          <w:rFonts w:asciiTheme="minorHAnsi" w:eastAsia="Times New Roman" w:hAnsiTheme="minorHAnsi" w:cs="Tahoma"/>
        </w:rPr>
        <w:t xml:space="preserve">settore in Europa </w:t>
      </w:r>
      <w:r w:rsidR="00985B30" w:rsidRPr="003946A9">
        <w:rPr>
          <w:rFonts w:asciiTheme="minorHAnsi" w:eastAsia="Times New Roman" w:hAnsiTheme="minorHAnsi" w:cs="Tahoma"/>
        </w:rPr>
        <w:t xml:space="preserve">ha </w:t>
      </w:r>
      <w:r w:rsidR="0022533C">
        <w:rPr>
          <w:rFonts w:asciiTheme="minorHAnsi" w:eastAsia="Times New Roman" w:hAnsiTheme="minorHAnsi" w:cs="Tahoma"/>
        </w:rPr>
        <w:t xml:space="preserve">ottenuto </w:t>
      </w:r>
      <w:r w:rsidR="00985B30" w:rsidRPr="003946A9">
        <w:rPr>
          <w:rFonts w:asciiTheme="minorHAnsi" w:eastAsia="Times New Roman" w:hAnsiTheme="minorHAnsi" w:cs="Tahoma"/>
          <w:b/>
        </w:rPr>
        <w:t>r</w:t>
      </w:r>
      <w:r w:rsidR="003E6BEA" w:rsidRPr="003946A9">
        <w:rPr>
          <w:rFonts w:asciiTheme="minorHAnsi" w:eastAsia="Times New Roman" w:hAnsiTheme="minorHAnsi" w:cs="Tahoma"/>
          <w:b/>
        </w:rPr>
        <w:t>isultati significativi in molti dei principali paesi</w:t>
      </w:r>
      <w:r w:rsidR="003946A9">
        <w:rPr>
          <w:rFonts w:asciiTheme="minorHAnsi" w:eastAsia="Times New Roman" w:hAnsiTheme="minorHAnsi" w:cs="Tahoma"/>
          <w:b/>
        </w:rPr>
        <w:t xml:space="preserve"> </w:t>
      </w:r>
      <w:r w:rsidR="00B947FC">
        <w:rPr>
          <w:rFonts w:asciiTheme="minorHAnsi" w:eastAsia="Times New Roman" w:hAnsiTheme="minorHAnsi" w:cs="Tahoma"/>
          <w:b/>
        </w:rPr>
        <w:t>soprattutto grazie alla</w:t>
      </w:r>
      <w:r w:rsidR="0022533C">
        <w:rPr>
          <w:rFonts w:asciiTheme="minorHAnsi" w:eastAsia="Times New Roman" w:hAnsiTheme="minorHAnsi" w:cs="Tahoma"/>
          <w:b/>
        </w:rPr>
        <w:t xml:space="preserve"> performance dell’occhial</w:t>
      </w:r>
      <w:r>
        <w:rPr>
          <w:rFonts w:asciiTheme="minorHAnsi" w:eastAsia="Times New Roman" w:hAnsiTheme="minorHAnsi" w:cs="Tahoma"/>
          <w:b/>
        </w:rPr>
        <w:t>e</w:t>
      </w:r>
      <w:r w:rsidR="0022533C">
        <w:rPr>
          <w:rFonts w:asciiTheme="minorHAnsi" w:eastAsia="Times New Roman" w:hAnsiTheme="minorHAnsi" w:cs="Tahoma"/>
          <w:b/>
        </w:rPr>
        <w:t xml:space="preserve"> da sole</w:t>
      </w:r>
      <w:r>
        <w:rPr>
          <w:rFonts w:asciiTheme="minorHAnsi" w:eastAsia="Times New Roman" w:hAnsiTheme="minorHAnsi" w:cs="Tahoma"/>
          <w:b/>
        </w:rPr>
        <w:t xml:space="preserve"> che ha controbilanciato la tendenza negativa delle montature</w:t>
      </w:r>
      <w:r w:rsidR="003E6BEA" w:rsidRPr="003946A9">
        <w:rPr>
          <w:rFonts w:asciiTheme="minorHAnsi" w:eastAsia="Times New Roman" w:hAnsiTheme="minorHAnsi" w:cs="Tahoma"/>
        </w:rPr>
        <w:t>.</w:t>
      </w:r>
      <w:r w:rsidR="00985B30" w:rsidRPr="003946A9">
        <w:rPr>
          <w:rFonts w:asciiTheme="minorHAnsi" w:eastAsia="Times New Roman" w:hAnsiTheme="minorHAnsi" w:cs="Tahoma"/>
        </w:rPr>
        <w:t xml:space="preserve"> </w:t>
      </w:r>
      <w:r>
        <w:rPr>
          <w:rFonts w:asciiTheme="minorHAnsi" w:eastAsia="Times New Roman" w:hAnsiTheme="minorHAnsi" w:cs="Tahoma"/>
        </w:rPr>
        <w:t xml:space="preserve">Gli unici paesi che non hanno beneficiato di questo andamento sono stati la </w:t>
      </w:r>
      <w:r w:rsidRPr="001F09B4">
        <w:rPr>
          <w:rFonts w:asciiTheme="minorHAnsi" w:eastAsia="Times New Roman" w:hAnsiTheme="minorHAnsi" w:cs="Tahoma"/>
        </w:rPr>
        <w:t>F</w:t>
      </w:r>
      <w:r w:rsidR="003E6BEA" w:rsidRPr="001F09B4">
        <w:rPr>
          <w:rFonts w:asciiTheme="minorHAnsi" w:eastAsia="Times New Roman" w:hAnsiTheme="minorHAnsi" w:cs="Tahoma"/>
        </w:rPr>
        <w:t>rancia,</w:t>
      </w:r>
      <w:r w:rsidR="003E6BEA" w:rsidRPr="003946A9">
        <w:rPr>
          <w:rFonts w:asciiTheme="minorHAnsi" w:eastAsia="Times New Roman" w:hAnsiTheme="minorHAnsi" w:cs="Tahoma"/>
        </w:rPr>
        <w:t xml:space="preserve"> secondo paese di riferimento per le esportazioni del settore con una quota </w:t>
      </w:r>
      <w:r w:rsidR="0022533C">
        <w:rPr>
          <w:rFonts w:asciiTheme="minorHAnsi" w:eastAsia="Times New Roman" w:hAnsiTheme="minorHAnsi" w:cs="Tahoma"/>
        </w:rPr>
        <w:t xml:space="preserve">di </w:t>
      </w:r>
      <w:r>
        <w:rPr>
          <w:rFonts w:asciiTheme="minorHAnsi" w:eastAsia="Times New Roman" w:hAnsiTheme="minorHAnsi" w:cs="Tahoma"/>
        </w:rPr>
        <w:t xml:space="preserve">poco superiore al </w:t>
      </w:r>
      <w:r w:rsidR="0022533C">
        <w:rPr>
          <w:rFonts w:asciiTheme="minorHAnsi" w:eastAsia="Times New Roman" w:hAnsiTheme="minorHAnsi" w:cs="Tahoma"/>
        </w:rPr>
        <w:t>1</w:t>
      </w:r>
      <w:r>
        <w:rPr>
          <w:rFonts w:asciiTheme="minorHAnsi" w:eastAsia="Times New Roman" w:hAnsiTheme="minorHAnsi" w:cs="Tahoma"/>
        </w:rPr>
        <w:t>2</w:t>
      </w:r>
      <w:r w:rsidR="003E6BEA" w:rsidRPr="003946A9">
        <w:rPr>
          <w:rFonts w:asciiTheme="minorHAnsi" w:eastAsia="Times New Roman" w:hAnsiTheme="minorHAnsi" w:cs="Tahoma"/>
        </w:rPr>
        <w:t xml:space="preserve">%, </w:t>
      </w:r>
      <w:r>
        <w:rPr>
          <w:rFonts w:asciiTheme="minorHAnsi" w:eastAsia="Times New Roman" w:hAnsiTheme="minorHAnsi" w:cs="Tahoma"/>
        </w:rPr>
        <w:t xml:space="preserve">e il Regno Unito. In </w:t>
      </w:r>
      <w:r w:rsidRPr="001F09B4">
        <w:rPr>
          <w:rFonts w:asciiTheme="minorHAnsi" w:eastAsia="Times New Roman" w:hAnsiTheme="minorHAnsi" w:cs="Tahoma"/>
          <w:b/>
        </w:rPr>
        <w:t>Francia</w:t>
      </w:r>
      <w:r>
        <w:rPr>
          <w:rFonts w:asciiTheme="minorHAnsi" w:eastAsia="Times New Roman" w:hAnsiTheme="minorHAnsi" w:cs="Tahoma"/>
        </w:rPr>
        <w:t xml:space="preserve"> il </w:t>
      </w:r>
      <w:r w:rsidR="003E6BEA" w:rsidRPr="003946A9">
        <w:rPr>
          <w:rFonts w:asciiTheme="minorHAnsi" w:eastAsia="Times New Roman" w:hAnsiTheme="minorHAnsi" w:cs="Tahoma"/>
        </w:rPr>
        <w:t xml:space="preserve">comparto sole-vista ha segnato una variazione tendenziale </w:t>
      </w:r>
      <w:r>
        <w:rPr>
          <w:rFonts w:asciiTheme="minorHAnsi" w:eastAsia="Times New Roman" w:hAnsiTheme="minorHAnsi" w:cs="Tahoma"/>
        </w:rPr>
        <w:t>negativa dell’</w:t>
      </w:r>
      <w:r w:rsidRPr="001F09B4">
        <w:rPr>
          <w:rFonts w:asciiTheme="minorHAnsi" w:eastAsia="Times New Roman" w:hAnsiTheme="minorHAnsi" w:cs="Tahoma"/>
          <w:b/>
        </w:rPr>
        <w:t>1</w:t>
      </w:r>
      <w:r w:rsidR="003E6BEA" w:rsidRPr="001F09B4">
        <w:rPr>
          <w:rFonts w:asciiTheme="minorHAnsi" w:eastAsia="Times New Roman" w:hAnsiTheme="minorHAnsi" w:cs="Tahoma"/>
          <w:b/>
        </w:rPr>
        <w:t>,</w:t>
      </w:r>
      <w:r w:rsidRPr="001F09B4">
        <w:rPr>
          <w:rFonts w:asciiTheme="minorHAnsi" w:eastAsia="Times New Roman" w:hAnsiTheme="minorHAnsi" w:cs="Tahoma"/>
          <w:b/>
        </w:rPr>
        <w:t>1</w:t>
      </w:r>
      <w:r w:rsidR="003E6BEA" w:rsidRPr="008A56E3">
        <w:rPr>
          <w:rFonts w:asciiTheme="minorHAnsi" w:eastAsia="Times New Roman" w:hAnsiTheme="minorHAnsi" w:cs="Tahoma"/>
        </w:rPr>
        <w:t>%</w:t>
      </w:r>
      <w:r w:rsidR="003E6BEA" w:rsidRPr="003946A9">
        <w:rPr>
          <w:rFonts w:asciiTheme="minorHAnsi" w:eastAsia="Times New Roman" w:hAnsiTheme="minorHAnsi" w:cs="Tahoma"/>
        </w:rPr>
        <w:t xml:space="preserve">, </w:t>
      </w:r>
      <w:r w:rsidR="003E6BEA" w:rsidRPr="001F09B4">
        <w:rPr>
          <w:rFonts w:asciiTheme="minorHAnsi" w:eastAsia="Times New Roman" w:hAnsiTheme="minorHAnsi" w:cs="Tahoma"/>
        </w:rPr>
        <w:t xml:space="preserve">declinata in un </w:t>
      </w:r>
      <w:r w:rsidRPr="001F09B4">
        <w:rPr>
          <w:rFonts w:asciiTheme="minorHAnsi" w:eastAsia="Times New Roman" w:hAnsiTheme="minorHAnsi" w:cs="Tahoma"/>
        </w:rPr>
        <w:t>-</w:t>
      </w:r>
      <w:r w:rsidR="0022533C" w:rsidRPr="001F09B4">
        <w:rPr>
          <w:rFonts w:asciiTheme="minorHAnsi" w:eastAsia="Times New Roman" w:hAnsiTheme="minorHAnsi" w:cs="Tahoma"/>
        </w:rPr>
        <w:t>5</w:t>
      </w:r>
      <w:r w:rsidR="003E6BEA" w:rsidRPr="001F09B4">
        <w:rPr>
          <w:rFonts w:asciiTheme="minorHAnsi" w:eastAsia="Times New Roman" w:hAnsiTheme="minorHAnsi" w:cs="Tahoma"/>
        </w:rPr>
        <w:t>,</w:t>
      </w:r>
      <w:r w:rsidRPr="001F09B4">
        <w:rPr>
          <w:rFonts w:asciiTheme="minorHAnsi" w:eastAsia="Times New Roman" w:hAnsiTheme="minorHAnsi" w:cs="Tahoma"/>
        </w:rPr>
        <w:t>5</w:t>
      </w:r>
      <w:r w:rsidR="003E6BEA" w:rsidRPr="001F09B4">
        <w:rPr>
          <w:rFonts w:asciiTheme="minorHAnsi" w:eastAsia="Times New Roman" w:hAnsiTheme="minorHAnsi" w:cs="Tahoma"/>
        </w:rPr>
        <w:t xml:space="preserve">% per </w:t>
      </w:r>
      <w:r w:rsidRPr="001F09B4">
        <w:rPr>
          <w:rFonts w:asciiTheme="minorHAnsi" w:eastAsia="Times New Roman" w:hAnsiTheme="minorHAnsi" w:cs="Tahoma"/>
        </w:rPr>
        <w:t>le montature</w:t>
      </w:r>
      <w:r>
        <w:rPr>
          <w:rFonts w:asciiTheme="minorHAnsi" w:eastAsia="Times New Roman" w:hAnsiTheme="minorHAnsi" w:cs="Tahoma"/>
        </w:rPr>
        <w:t xml:space="preserve">, che ancora scontano il cambio delle politiche dei rimborsi assicurativi, </w:t>
      </w:r>
      <w:r w:rsidRPr="001F09B4">
        <w:rPr>
          <w:rFonts w:asciiTheme="minorHAnsi" w:eastAsia="Times New Roman" w:hAnsiTheme="minorHAnsi" w:cs="Tahoma"/>
        </w:rPr>
        <w:t xml:space="preserve">e un +2% per </w:t>
      </w:r>
      <w:r w:rsidR="003E6BEA" w:rsidRPr="001F09B4">
        <w:rPr>
          <w:rFonts w:asciiTheme="minorHAnsi" w:eastAsia="Times New Roman" w:hAnsiTheme="minorHAnsi" w:cs="Tahoma"/>
        </w:rPr>
        <w:t>gli occhiali da sole</w:t>
      </w:r>
      <w:r w:rsidRPr="001F09B4">
        <w:rPr>
          <w:rFonts w:asciiTheme="minorHAnsi" w:eastAsia="Times New Roman" w:hAnsiTheme="minorHAnsi" w:cs="Tahoma"/>
        </w:rPr>
        <w:t>.</w:t>
      </w:r>
      <w:r>
        <w:rPr>
          <w:rFonts w:asciiTheme="minorHAnsi" w:eastAsia="Times New Roman" w:hAnsiTheme="minorHAnsi" w:cs="Tahoma"/>
        </w:rPr>
        <w:t xml:space="preserve"> Nel </w:t>
      </w:r>
      <w:r w:rsidRPr="001F09B4">
        <w:rPr>
          <w:rFonts w:asciiTheme="minorHAnsi" w:eastAsia="Times New Roman" w:hAnsiTheme="minorHAnsi" w:cs="Tahoma"/>
          <w:b/>
        </w:rPr>
        <w:t>Regno Unito</w:t>
      </w:r>
      <w:r>
        <w:rPr>
          <w:rFonts w:asciiTheme="minorHAnsi" w:eastAsia="Times New Roman" w:hAnsiTheme="minorHAnsi" w:cs="Tahoma"/>
        </w:rPr>
        <w:t xml:space="preserve"> le </w:t>
      </w:r>
      <w:r>
        <w:rPr>
          <w:rFonts w:asciiTheme="minorHAnsi" w:eastAsia="Times New Roman" w:hAnsiTheme="minorHAnsi" w:cs="Tahoma"/>
        </w:rPr>
        <w:lastRenderedPageBreak/>
        <w:t xml:space="preserve">esportazioni sembrano aver risentito dell’effetto </w:t>
      </w:r>
      <w:proofErr w:type="spellStart"/>
      <w:r>
        <w:rPr>
          <w:rFonts w:asciiTheme="minorHAnsi" w:eastAsia="Times New Roman" w:hAnsiTheme="minorHAnsi" w:cs="Tahoma"/>
        </w:rPr>
        <w:t>Brexit</w:t>
      </w:r>
      <w:proofErr w:type="spellEnd"/>
      <w:r>
        <w:rPr>
          <w:rFonts w:asciiTheme="minorHAnsi" w:eastAsia="Times New Roman" w:hAnsiTheme="minorHAnsi" w:cs="Tahoma"/>
        </w:rPr>
        <w:t xml:space="preserve"> con </w:t>
      </w:r>
      <w:r w:rsidRPr="001F09B4">
        <w:rPr>
          <w:rFonts w:asciiTheme="minorHAnsi" w:eastAsia="Times New Roman" w:hAnsiTheme="minorHAnsi" w:cs="Tahoma"/>
          <w:b/>
        </w:rPr>
        <w:t>calo complessivo del 2,2</w:t>
      </w:r>
      <w:r>
        <w:rPr>
          <w:rFonts w:asciiTheme="minorHAnsi" w:eastAsia="Times New Roman" w:hAnsiTheme="minorHAnsi" w:cs="Tahoma"/>
        </w:rPr>
        <w:t xml:space="preserve">%. Qui alla stabilità delle esportazioni dell’occhiale da sole (+0,2% rispetto al 2016), si è </w:t>
      </w:r>
      <w:r w:rsidR="00B16225">
        <w:rPr>
          <w:rFonts w:asciiTheme="minorHAnsi" w:eastAsia="Times New Roman" w:hAnsiTheme="minorHAnsi" w:cs="Tahoma"/>
        </w:rPr>
        <w:t>affiancato un -7,8% per l’export delle montature</w:t>
      </w:r>
      <w:r w:rsidR="003E6BEA" w:rsidRPr="003946A9">
        <w:rPr>
          <w:rFonts w:asciiTheme="minorHAnsi" w:eastAsia="Times New Roman" w:hAnsiTheme="minorHAnsi" w:cs="Tahoma"/>
        </w:rPr>
        <w:t>.</w:t>
      </w:r>
      <w:r w:rsidR="003946A9" w:rsidRPr="003946A9">
        <w:rPr>
          <w:rFonts w:asciiTheme="minorHAnsi" w:eastAsia="Times New Roman" w:hAnsiTheme="minorHAnsi" w:cs="Tahoma"/>
        </w:rPr>
        <w:t xml:space="preserve"> </w:t>
      </w:r>
      <w:r w:rsidR="00B16225" w:rsidRPr="00B16225">
        <w:rPr>
          <w:rFonts w:asciiTheme="minorHAnsi" w:eastAsia="Times New Roman" w:hAnsiTheme="minorHAnsi" w:cs="Tahoma"/>
          <w:b/>
        </w:rPr>
        <w:t xml:space="preserve">La </w:t>
      </w:r>
      <w:r w:rsidR="000B4EE7" w:rsidRPr="00B16225">
        <w:rPr>
          <w:rFonts w:asciiTheme="minorHAnsi" w:eastAsia="Times New Roman" w:hAnsiTheme="minorHAnsi" w:cs="Tahoma"/>
          <w:b/>
        </w:rPr>
        <w:t xml:space="preserve">Germania </w:t>
      </w:r>
      <w:r w:rsidR="00B16225" w:rsidRPr="00B16225">
        <w:rPr>
          <w:rFonts w:asciiTheme="minorHAnsi" w:eastAsia="Times New Roman" w:hAnsiTheme="minorHAnsi" w:cs="Tahoma"/>
          <w:b/>
        </w:rPr>
        <w:t xml:space="preserve">nel 2017 è stato il paese dove </w:t>
      </w:r>
      <w:r w:rsidR="000B4EE7" w:rsidRPr="00B16225">
        <w:rPr>
          <w:rFonts w:asciiTheme="minorHAnsi" w:eastAsia="Times New Roman" w:hAnsiTheme="minorHAnsi" w:cs="Tahoma"/>
          <w:b/>
        </w:rPr>
        <w:t xml:space="preserve">le esportazioni italiane </w:t>
      </w:r>
      <w:r w:rsidR="00B16225" w:rsidRPr="00B16225">
        <w:rPr>
          <w:rFonts w:asciiTheme="minorHAnsi" w:eastAsia="Times New Roman" w:hAnsiTheme="minorHAnsi" w:cs="Tahoma"/>
          <w:b/>
        </w:rPr>
        <w:t>del settore hanno registrato il miglior risultato</w:t>
      </w:r>
      <w:r w:rsidR="00B16225">
        <w:rPr>
          <w:rFonts w:asciiTheme="minorHAnsi" w:eastAsia="Times New Roman" w:hAnsiTheme="minorHAnsi" w:cs="Tahoma"/>
        </w:rPr>
        <w:t>. C</w:t>
      </w:r>
      <w:r w:rsidR="000B4EE7" w:rsidRPr="003946A9">
        <w:rPr>
          <w:rFonts w:asciiTheme="minorHAnsi" w:eastAsia="Times New Roman" w:hAnsiTheme="minorHAnsi" w:cs="Tahoma"/>
        </w:rPr>
        <w:t>omplessiv</w:t>
      </w:r>
      <w:r w:rsidR="00B16225">
        <w:rPr>
          <w:rFonts w:asciiTheme="minorHAnsi" w:eastAsia="Times New Roman" w:hAnsiTheme="minorHAnsi" w:cs="Tahoma"/>
        </w:rPr>
        <w:t xml:space="preserve">amente le esportazioni </w:t>
      </w:r>
      <w:r w:rsidR="000B4EE7" w:rsidRPr="003946A9">
        <w:rPr>
          <w:rFonts w:asciiTheme="minorHAnsi" w:eastAsia="Times New Roman" w:hAnsiTheme="minorHAnsi" w:cs="Tahoma"/>
        </w:rPr>
        <w:t>sono cresciute del</w:t>
      </w:r>
      <w:r w:rsidR="00B16225">
        <w:rPr>
          <w:rFonts w:asciiTheme="minorHAnsi" w:eastAsia="Times New Roman" w:hAnsiTheme="minorHAnsi" w:cs="Tahoma"/>
        </w:rPr>
        <w:t>l’</w:t>
      </w:r>
      <w:r w:rsidR="00B16225">
        <w:rPr>
          <w:rFonts w:asciiTheme="minorHAnsi" w:eastAsia="Times New Roman" w:hAnsiTheme="minorHAnsi" w:cs="Tahoma"/>
          <w:b/>
        </w:rPr>
        <w:t>8</w:t>
      </w:r>
      <w:r w:rsidR="000B4EE7" w:rsidRPr="003946A9">
        <w:rPr>
          <w:rFonts w:asciiTheme="minorHAnsi" w:eastAsia="Times New Roman" w:hAnsiTheme="minorHAnsi" w:cs="Tahoma"/>
          <w:b/>
        </w:rPr>
        <w:t>,</w:t>
      </w:r>
      <w:r w:rsidR="00B16225">
        <w:rPr>
          <w:rFonts w:asciiTheme="minorHAnsi" w:eastAsia="Times New Roman" w:hAnsiTheme="minorHAnsi" w:cs="Tahoma"/>
          <w:b/>
        </w:rPr>
        <w:t>3</w:t>
      </w:r>
      <w:r w:rsidR="000B4EE7" w:rsidRPr="008A56E3">
        <w:rPr>
          <w:rFonts w:asciiTheme="minorHAnsi" w:eastAsia="Times New Roman" w:hAnsiTheme="minorHAnsi" w:cs="Tahoma"/>
        </w:rPr>
        <w:t>%</w:t>
      </w:r>
      <w:r w:rsidR="000B4EE7" w:rsidRPr="003946A9">
        <w:rPr>
          <w:rFonts w:asciiTheme="minorHAnsi" w:eastAsia="Times New Roman" w:hAnsiTheme="minorHAnsi" w:cs="Tahoma"/>
        </w:rPr>
        <w:t xml:space="preserve"> </w:t>
      </w:r>
      <w:r w:rsidR="003A02E3" w:rsidRPr="003946A9">
        <w:rPr>
          <w:rFonts w:asciiTheme="minorHAnsi" w:eastAsia="Times New Roman" w:hAnsiTheme="minorHAnsi" w:cs="Tahoma"/>
        </w:rPr>
        <w:t>a livello tendenziale</w:t>
      </w:r>
      <w:r w:rsidR="000B4EE7" w:rsidRPr="003946A9">
        <w:rPr>
          <w:rFonts w:asciiTheme="minorHAnsi" w:eastAsia="Times New Roman" w:hAnsiTheme="minorHAnsi" w:cs="Tahoma"/>
        </w:rPr>
        <w:t>,</w:t>
      </w:r>
      <w:r w:rsidR="009F60F9" w:rsidRPr="003946A9">
        <w:rPr>
          <w:rFonts w:asciiTheme="minorHAnsi" w:eastAsia="Times New Roman" w:hAnsiTheme="minorHAnsi" w:cs="Tahoma"/>
        </w:rPr>
        <w:t xml:space="preserve"> declinato in un </w:t>
      </w:r>
      <w:r w:rsidR="009F60F9" w:rsidRPr="00B16225">
        <w:rPr>
          <w:rFonts w:asciiTheme="minorHAnsi" w:eastAsia="Times New Roman" w:hAnsiTheme="minorHAnsi" w:cs="Tahoma"/>
        </w:rPr>
        <w:t>+</w:t>
      </w:r>
      <w:r w:rsidR="0022533C">
        <w:rPr>
          <w:rFonts w:asciiTheme="minorHAnsi" w:eastAsia="Times New Roman" w:hAnsiTheme="minorHAnsi" w:cs="Tahoma"/>
          <w:b/>
        </w:rPr>
        <w:t>1</w:t>
      </w:r>
      <w:r w:rsidR="00B16225">
        <w:rPr>
          <w:rFonts w:asciiTheme="minorHAnsi" w:eastAsia="Times New Roman" w:hAnsiTheme="minorHAnsi" w:cs="Tahoma"/>
          <w:b/>
        </w:rPr>
        <w:t>2</w:t>
      </w:r>
      <w:r w:rsidR="003A02E3" w:rsidRPr="003946A9">
        <w:rPr>
          <w:rFonts w:asciiTheme="minorHAnsi" w:eastAsia="Times New Roman" w:hAnsiTheme="minorHAnsi" w:cs="Tahoma"/>
          <w:b/>
        </w:rPr>
        <w:t>,</w:t>
      </w:r>
      <w:r w:rsidR="00B16225">
        <w:rPr>
          <w:rFonts w:asciiTheme="minorHAnsi" w:eastAsia="Times New Roman" w:hAnsiTheme="minorHAnsi" w:cs="Tahoma"/>
          <w:b/>
        </w:rPr>
        <w:t>2</w:t>
      </w:r>
      <w:r w:rsidR="009F60F9" w:rsidRPr="008A56E3">
        <w:rPr>
          <w:rFonts w:asciiTheme="minorHAnsi" w:eastAsia="Times New Roman" w:hAnsiTheme="minorHAnsi" w:cs="Tahoma"/>
        </w:rPr>
        <w:t>%</w:t>
      </w:r>
      <w:r w:rsidR="009F60F9" w:rsidRPr="003946A9">
        <w:rPr>
          <w:rFonts w:asciiTheme="minorHAnsi" w:eastAsia="Times New Roman" w:hAnsiTheme="minorHAnsi" w:cs="Tahoma"/>
          <w:b/>
        </w:rPr>
        <w:t xml:space="preserve"> per il sole</w:t>
      </w:r>
      <w:r w:rsidR="009F60F9" w:rsidRPr="003946A9">
        <w:rPr>
          <w:rFonts w:asciiTheme="minorHAnsi" w:eastAsia="Times New Roman" w:hAnsiTheme="minorHAnsi" w:cs="Tahoma"/>
        </w:rPr>
        <w:t xml:space="preserve"> </w:t>
      </w:r>
      <w:r w:rsidR="00B16225">
        <w:rPr>
          <w:rFonts w:asciiTheme="minorHAnsi" w:eastAsia="Times New Roman" w:hAnsiTheme="minorHAnsi" w:cs="Tahoma"/>
        </w:rPr>
        <w:t>e un +</w:t>
      </w:r>
      <w:r w:rsidR="00B16225" w:rsidRPr="00B16225">
        <w:rPr>
          <w:rFonts w:asciiTheme="minorHAnsi" w:eastAsia="Times New Roman" w:hAnsiTheme="minorHAnsi" w:cs="Tahoma"/>
          <w:b/>
        </w:rPr>
        <w:t>2,2</w:t>
      </w:r>
      <w:r w:rsidR="00B16225">
        <w:rPr>
          <w:rFonts w:asciiTheme="minorHAnsi" w:eastAsia="Times New Roman" w:hAnsiTheme="minorHAnsi" w:cs="Tahoma"/>
        </w:rPr>
        <w:t xml:space="preserve">% per le </w:t>
      </w:r>
      <w:r w:rsidR="0022533C" w:rsidRPr="0022533C">
        <w:rPr>
          <w:rFonts w:asciiTheme="minorHAnsi" w:eastAsia="Times New Roman" w:hAnsiTheme="minorHAnsi" w:cs="Tahoma"/>
          <w:b/>
        </w:rPr>
        <w:t>montature</w:t>
      </w:r>
      <w:r w:rsidR="00B16225" w:rsidRPr="00B16225">
        <w:rPr>
          <w:rFonts w:asciiTheme="minorHAnsi" w:eastAsia="Times New Roman" w:hAnsiTheme="minorHAnsi" w:cs="Tahoma"/>
        </w:rPr>
        <w:t>.</w:t>
      </w:r>
      <w:r w:rsidR="00985B30" w:rsidRPr="003946A9">
        <w:rPr>
          <w:rFonts w:asciiTheme="minorHAnsi" w:eastAsia="Times New Roman" w:hAnsiTheme="minorHAnsi" w:cs="Tahoma"/>
        </w:rPr>
        <w:t xml:space="preserve"> </w:t>
      </w:r>
      <w:r w:rsidR="003946A9">
        <w:rPr>
          <w:rFonts w:asciiTheme="minorHAnsi" w:eastAsia="Times New Roman" w:hAnsiTheme="minorHAnsi" w:cs="Tahoma"/>
        </w:rPr>
        <w:t xml:space="preserve">In </w:t>
      </w:r>
      <w:r w:rsidR="003946A9" w:rsidRPr="003946A9">
        <w:rPr>
          <w:rFonts w:asciiTheme="minorHAnsi" w:eastAsia="Times New Roman" w:hAnsiTheme="minorHAnsi" w:cs="Tahoma"/>
          <w:b/>
        </w:rPr>
        <w:t>Spagna</w:t>
      </w:r>
      <w:r w:rsidR="003946A9">
        <w:rPr>
          <w:rFonts w:asciiTheme="minorHAnsi" w:eastAsia="Times New Roman" w:hAnsiTheme="minorHAnsi" w:cs="Tahoma"/>
        </w:rPr>
        <w:t xml:space="preserve"> l’export complessivo del settore ha registrato un </w:t>
      </w:r>
      <w:r w:rsidR="003946A9" w:rsidRPr="003263A2">
        <w:rPr>
          <w:rFonts w:asciiTheme="minorHAnsi" w:eastAsia="Times New Roman" w:hAnsiTheme="minorHAnsi" w:cs="Tahoma"/>
        </w:rPr>
        <w:t>+</w:t>
      </w:r>
      <w:r w:rsidR="00B16225">
        <w:rPr>
          <w:rFonts w:asciiTheme="minorHAnsi" w:eastAsia="Times New Roman" w:hAnsiTheme="minorHAnsi" w:cs="Tahoma"/>
          <w:b/>
        </w:rPr>
        <w:t>3,6</w:t>
      </w:r>
      <w:r w:rsidR="003946A9" w:rsidRPr="008A56E3">
        <w:rPr>
          <w:rFonts w:asciiTheme="minorHAnsi" w:eastAsia="Times New Roman" w:hAnsiTheme="minorHAnsi" w:cs="Tahoma"/>
        </w:rPr>
        <w:t>%</w:t>
      </w:r>
      <w:r w:rsidR="003946A9">
        <w:rPr>
          <w:rFonts w:asciiTheme="minorHAnsi" w:eastAsia="Times New Roman" w:hAnsiTheme="minorHAnsi" w:cs="Tahoma"/>
        </w:rPr>
        <w:t xml:space="preserve"> in valore rispetto al 201</w:t>
      </w:r>
      <w:r w:rsidR="00B16225">
        <w:rPr>
          <w:rFonts w:asciiTheme="minorHAnsi" w:eastAsia="Times New Roman" w:hAnsiTheme="minorHAnsi" w:cs="Tahoma"/>
        </w:rPr>
        <w:t>6</w:t>
      </w:r>
      <w:r w:rsidR="003946A9">
        <w:rPr>
          <w:rFonts w:asciiTheme="minorHAnsi" w:eastAsia="Times New Roman" w:hAnsiTheme="minorHAnsi" w:cs="Tahoma"/>
        </w:rPr>
        <w:t xml:space="preserve"> (</w:t>
      </w:r>
      <w:r w:rsidR="003946A9" w:rsidRPr="003946A9">
        <w:rPr>
          <w:rFonts w:asciiTheme="minorHAnsi" w:eastAsia="Times New Roman" w:hAnsiTheme="minorHAnsi" w:cs="Tahoma"/>
        </w:rPr>
        <w:t>+</w:t>
      </w:r>
      <w:r w:rsidR="00B16225">
        <w:rPr>
          <w:rFonts w:asciiTheme="minorHAnsi" w:eastAsia="Times New Roman" w:hAnsiTheme="minorHAnsi" w:cs="Tahoma"/>
          <w:b/>
        </w:rPr>
        <w:t>5,</w:t>
      </w:r>
      <w:r w:rsidR="003946A9" w:rsidRPr="003946A9">
        <w:rPr>
          <w:rFonts w:asciiTheme="minorHAnsi" w:eastAsia="Times New Roman" w:hAnsiTheme="minorHAnsi" w:cs="Tahoma"/>
          <w:b/>
        </w:rPr>
        <w:t>2</w:t>
      </w:r>
      <w:r w:rsidR="003946A9" w:rsidRPr="008A56E3">
        <w:rPr>
          <w:rFonts w:asciiTheme="minorHAnsi" w:eastAsia="Times New Roman" w:hAnsiTheme="minorHAnsi" w:cs="Tahoma"/>
        </w:rPr>
        <w:t>%</w:t>
      </w:r>
      <w:r w:rsidR="003946A9" w:rsidRPr="003946A9">
        <w:rPr>
          <w:rFonts w:asciiTheme="minorHAnsi" w:eastAsia="Times New Roman" w:hAnsiTheme="minorHAnsi" w:cs="Tahoma"/>
          <w:b/>
        </w:rPr>
        <w:t xml:space="preserve"> per gli occhiali da sole</w:t>
      </w:r>
      <w:r w:rsidR="00D360A4" w:rsidRPr="00D360A4">
        <w:rPr>
          <w:rFonts w:asciiTheme="minorHAnsi" w:eastAsia="Times New Roman" w:hAnsiTheme="minorHAnsi" w:cs="Tahoma"/>
        </w:rPr>
        <w:t xml:space="preserve">, in leggero </w:t>
      </w:r>
      <w:r w:rsidR="00D360A4">
        <w:rPr>
          <w:rFonts w:asciiTheme="minorHAnsi" w:eastAsia="Times New Roman" w:hAnsiTheme="minorHAnsi" w:cs="Tahoma"/>
          <w:b/>
        </w:rPr>
        <w:t xml:space="preserve">calo di </w:t>
      </w:r>
      <w:r w:rsidR="00B16225" w:rsidRPr="00D360A4">
        <w:rPr>
          <w:rFonts w:asciiTheme="minorHAnsi" w:eastAsia="Times New Roman" w:hAnsiTheme="minorHAnsi" w:cs="Tahoma"/>
          <w:b/>
        </w:rPr>
        <w:t>0,3</w:t>
      </w:r>
      <w:r w:rsidR="00B16225">
        <w:rPr>
          <w:rFonts w:asciiTheme="minorHAnsi" w:eastAsia="Times New Roman" w:hAnsiTheme="minorHAnsi" w:cs="Tahoma"/>
        </w:rPr>
        <w:t>%</w:t>
      </w:r>
      <w:r w:rsidR="003263A2">
        <w:rPr>
          <w:rFonts w:asciiTheme="minorHAnsi" w:eastAsia="Times New Roman" w:hAnsiTheme="minorHAnsi" w:cs="Tahoma"/>
        </w:rPr>
        <w:t xml:space="preserve"> </w:t>
      </w:r>
      <w:r w:rsidR="003946A9" w:rsidRPr="003946A9">
        <w:rPr>
          <w:rFonts w:asciiTheme="minorHAnsi" w:eastAsia="Times New Roman" w:hAnsiTheme="minorHAnsi" w:cs="Tahoma"/>
          <w:b/>
        </w:rPr>
        <w:t>le montature da vista</w:t>
      </w:r>
      <w:r w:rsidR="003946A9">
        <w:rPr>
          <w:rFonts w:asciiTheme="minorHAnsi" w:eastAsia="Times New Roman" w:hAnsiTheme="minorHAnsi" w:cs="Tahoma"/>
        </w:rPr>
        <w:t xml:space="preserve">). </w:t>
      </w:r>
      <w:r w:rsidR="00D360A4">
        <w:rPr>
          <w:rFonts w:asciiTheme="minorHAnsi" w:eastAsia="Times New Roman" w:hAnsiTheme="minorHAnsi" w:cs="Tahoma"/>
        </w:rPr>
        <w:t>N</w:t>
      </w:r>
      <w:r w:rsidR="00533807">
        <w:rPr>
          <w:rFonts w:asciiTheme="minorHAnsi" w:eastAsia="Times New Roman" w:hAnsiTheme="minorHAnsi" w:cs="Tahoma"/>
        </w:rPr>
        <w:t xml:space="preserve">ei </w:t>
      </w:r>
      <w:r w:rsidR="00533807" w:rsidRPr="00533807">
        <w:rPr>
          <w:rFonts w:asciiTheme="minorHAnsi" w:eastAsia="Times New Roman" w:hAnsiTheme="minorHAnsi" w:cs="Tahoma"/>
          <w:b/>
        </w:rPr>
        <w:t>Paesi Bassi</w:t>
      </w:r>
      <w:r w:rsidR="00533807">
        <w:rPr>
          <w:rFonts w:asciiTheme="minorHAnsi" w:eastAsia="Times New Roman" w:hAnsiTheme="minorHAnsi" w:cs="Tahoma"/>
        </w:rPr>
        <w:t xml:space="preserve"> le esportazioni complessive nel 201</w:t>
      </w:r>
      <w:r w:rsidR="00D360A4">
        <w:rPr>
          <w:rFonts w:asciiTheme="minorHAnsi" w:eastAsia="Times New Roman" w:hAnsiTheme="minorHAnsi" w:cs="Tahoma"/>
        </w:rPr>
        <w:t>7</w:t>
      </w:r>
      <w:r w:rsidR="00533807">
        <w:rPr>
          <w:rFonts w:asciiTheme="minorHAnsi" w:eastAsia="Times New Roman" w:hAnsiTheme="minorHAnsi" w:cs="Tahoma"/>
        </w:rPr>
        <w:t xml:space="preserve"> hanno registrato +</w:t>
      </w:r>
      <w:r w:rsidR="00533807" w:rsidRPr="00184A85">
        <w:rPr>
          <w:rFonts w:asciiTheme="minorHAnsi" w:eastAsia="Times New Roman" w:hAnsiTheme="minorHAnsi" w:cs="Tahoma"/>
          <w:b/>
        </w:rPr>
        <w:t>7</w:t>
      </w:r>
      <w:r w:rsidR="00533807" w:rsidRPr="002901A2">
        <w:rPr>
          <w:rFonts w:asciiTheme="minorHAnsi" w:eastAsia="Times New Roman" w:hAnsiTheme="minorHAnsi" w:cs="Tahoma"/>
        </w:rPr>
        <w:t>%</w:t>
      </w:r>
      <w:r w:rsidR="00533807">
        <w:rPr>
          <w:rFonts w:asciiTheme="minorHAnsi" w:eastAsia="Times New Roman" w:hAnsiTheme="minorHAnsi" w:cs="Tahoma"/>
        </w:rPr>
        <w:t xml:space="preserve"> (+</w:t>
      </w:r>
      <w:r w:rsidR="00D360A4">
        <w:rPr>
          <w:rFonts w:asciiTheme="minorHAnsi" w:eastAsia="Times New Roman" w:hAnsiTheme="minorHAnsi" w:cs="Tahoma"/>
          <w:b/>
        </w:rPr>
        <w:t>16,9</w:t>
      </w:r>
      <w:r w:rsidR="00533807">
        <w:rPr>
          <w:rFonts w:asciiTheme="minorHAnsi" w:eastAsia="Times New Roman" w:hAnsiTheme="minorHAnsi" w:cs="Tahoma"/>
        </w:rPr>
        <w:t xml:space="preserve">% </w:t>
      </w:r>
      <w:r w:rsidR="00533807" w:rsidRPr="002901A2">
        <w:rPr>
          <w:rFonts w:asciiTheme="minorHAnsi" w:eastAsia="Times New Roman" w:hAnsiTheme="minorHAnsi" w:cs="Tahoma"/>
          <w:b/>
        </w:rPr>
        <w:t>per gli occhiali da sole</w:t>
      </w:r>
      <w:r w:rsidR="00533807">
        <w:rPr>
          <w:rFonts w:asciiTheme="minorHAnsi" w:eastAsia="Times New Roman" w:hAnsiTheme="minorHAnsi" w:cs="Tahoma"/>
        </w:rPr>
        <w:t xml:space="preserve"> e </w:t>
      </w:r>
      <w:r w:rsidR="00D360A4">
        <w:rPr>
          <w:rFonts w:asciiTheme="minorHAnsi" w:eastAsia="Times New Roman" w:hAnsiTheme="minorHAnsi" w:cs="Tahoma"/>
        </w:rPr>
        <w:t>-</w:t>
      </w:r>
      <w:r w:rsidR="00D360A4">
        <w:rPr>
          <w:rFonts w:asciiTheme="minorHAnsi" w:eastAsia="Times New Roman" w:hAnsiTheme="minorHAnsi" w:cs="Tahoma"/>
          <w:b/>
        </w:rPr>
        <w:t>6</w:t>
      </w:r>
      <w:r w:rsidR="00533807" w:rsidRPr="002901A2">
        <w:rPr>
          <w:rFonts w:asciiTheme="minorHAnsi" w:eastAsia="Times New Roman" w:hAnsiTheme="minorHAnsi" w:cs="Tahoma"/>
          <w:b/>
        </w:rPr>
        <w:t>,</w:t>
      </w:r>
      <w:r w:rsidR="00D360A4">
        <w:rPr>
          <w:rFonts w:asciiTheme="minorHAnsi" w:eastAsia="Times New Roman" w:hAnsiTheme="minorHAnsi" w:cs="Tahoma"/>
          <w:b/>
        </w:rPr>
        <w:t>3</w:t>
      </w:r>
      <w:r w:rsidR="00533807">
        <w:rPr>
          <w:rFonts w:asciiTheme="minorHAnsi" w:eastAsia="Times New Roman" w:hAnsiTheme="minorHAnsi" w:cs="Tahoma"/>
        </w:rPr>
        <w:t xml:space="preserve">% </w:t>
      </w:r>
      <w:r w:rsidR="00533807" w:rsidRPr="002901A2">
        <w:rPr>
          <w:rFonts w:asciiTheme="minorHAnsi" w:eastAsia="Times New Roman" w:hAnsiTheme="minorHAnsi" w:cs="Tahoma"/>
          <w:b/>
        </w:rPr>
        <w:t>per le montature da vista</w:t>
      </w:r>
      <w:r w:rsidR="00533807">
        <w:rPr>
          <w:rFonts w:asciiTheme="minorHAnsi" w:eastAsia="Times New Roman" w:hAnsiTheme="minorHAnsi" w:cs="Tahoma"/>
        </w:rPr>
        <w:t>)</w:t>
      </w:r>
      <w:r w:rsidR="00D360A4">
        <w:rPr>
          <w:rFonts w:asciiTheme="minorHAnsi" w:eastAsia="Times New Roman" w:hAnsiTheme="minorHAnsi" w:cs="Tahoma"/>
        </w:rPr>
        <w:t>;</w:t>
      </w:r>
      <w:r w:rsidR="00533807">
        <w:rPr>
          <w:rFonts w:asciiTheme="minorHAnsi" w:eastAsia="Times New Roman" w:hAnsiTheme="minorHAnsi" w:cs="Tahoma"/>
        </w:rPr>
        <w:t xml:space="preserve"> </w:t>
      </w:r>
      <w:r w:rsidR="002901A2">
        <w:rPr>
          <w:rFonts w:asciiTheme="minorHAnsi" w:eastAsia="Times New Roman" w:hAnsiTheme="minorHAnsi" w:cs="Tahoma"/>
        </w:rPr>
        <w:t xml:space="preserve">in </w:t>
      </w:r>
      <w:r w:rsidR="002901A2" w:rsidRPr="002901A2">
        <w:rPr>
          <w:rFonts w:asciiTheme="minorHAnsi" w:eastAsia="Times New Roman" w:hAnsiTheme="minorHAnsi" w:cs="Tahoma"/>
          <w:b/>
        </w:rPr>
        <w:t xml:space="preserve">Grecia </w:t>
      </w:r>
      <w:r w:rsidR="002901A2">
        <w:rPr>
          <w:rFonts w:asciiTheme="minorHAnsi" w:eastAsia="Times New Roman" w:hAnsiTheme="minorHAnsi" w:cs="Tahoma"/>
        </w:rPr>
        <w:t>le esportazioni hanno fatto segnare +</w:t>
      </w:r>
      <w:r w:rsidR="002901A2" w:rsidRPr="002901A2">
        <w:rPr>
          <w:rFonts w:asciiTheme="minorHAnsi" w:eastAsia="Times New Roman" w:hAnsiTheme="minorHAnsi" w:cs="Tahoma"/>
          <w:b/>
        </w:rPr>
        <w:t>1,2</w:t>
      </w:r>
      <w:r w:rsidR="002901A2">
        <w:rPr>
          <w:rFonts w:asciiTheme="minorHAnsi" w:eastAsia="Times New Roman" w:hAnsiTheme="minorHAnsi" w:cs="Tahoma"/>
        </w:rPr>
        <w:t>% (+</w:t>
      </w:r>
      <w:r w:rsidR="00D360A4">
        <w:rPr>
          <w:rFonts w:asciiTheme="minorHAnsi" w:eastAsia="Times New Roman" w:hAnsiTheme="minorHAnsi" w:cs="Tahoma"/>
          <w:b/>
        </w:rPr>
        <w:t>3,</w:t>
      </w:r>
      <w:r w:rsidR="002901A2" w:rsidRPr="002901A2">
        <w:rPr>
          <w:rFonts w:asciiTheme="minorHAnsi" w:eastAsia="Times New Roman" w:hAnsiTheme="minorHAnsi" w:cs="Tahoma"/>
          <w:b/>
        </w:rPr>
        <w:t>75</w:t>
      </w:r>
      <w:r w:rsidR="002901A2">
        <w:rPr>
          <w:rFonts w:asciiTheme="minorHAnsi" w:eastAsia="Times New Roman" w:hAnsiTheme="minorHAnsi" w:cs="Tahoma"/>
        </w:rPr>
        <w:t xml:space="preserve">% </w:t>
      </w:r>
      <w:r w:rsidR="002901A2" w:rsidRPr="002901A2">
        <w:rPr>
          <w:rFonts w:asciiTheme="minorHAnsi" w:eastAsia="Times New Roman" w:hAnsiTheme="minorHAnsi" w:cs="Tahoma"/>
          <w:b/>
        </w:rPr>
        <w:t>del sole</w:t>
      </w:r>
      <w:r w:rsidR="002901A2">
        <w:rPr>
          <w:rFonts w:asciiTheme="minorHAnsi" w:eastAsia="Times New Roman" w:hAnsiTheme="minorHAnsi" w:cs="Tahoma"/>
        </w:rPr>
        <w:t xml:space="preserve"> e </w:t>
      </w:r>
      <w:r w:rsidR="00D360A4">
        <w:rPr>
          <w:rFonts w:asciiTheme="minorHAnsi" w:eastAsia="Times New Roman" w:hAnsiTheme="minorHAnsi" w:cs="Tahoma"/>
        </w:rPr>
        <w:t>-</w:t>
      </w:r>
      <w:r w:rsidR="00D360A4" w:rsidRPr="00D360A4">
        <w:rPr>
          <w:rFonts w:asciiTheme="minorHAnsi" w:eastAsia="Times New Roman" w:hAnsiTheme="minorHAnsi" w:cs="Tahoma"/>
          <w:b/>
        </w:rPr>
        <w:t>7</w:t>
      </w:r>
      <w:r w:rsidR="002901A2" w:rsidRPr="00D360A4">
        <w:rPr>
          <w:rFonts w:asciiTheme="minorHAnsi" w:eastAsia="Times New Roman" w:hAnsiTheme="minorHAnsi" w:cs="Tahoma"/>
          <w:b/>
        </w:rPr>
        <w:t>,</w:t>
      </w:r>
      <w:r w:rsidR="00D360A4">
        <w:rPr>
          <w:rFonts w:asciiTheme="minorHAnsi" w:eastAsia="Times New Roman" w:hAnsiTheme="minorHAnsi" w:cs="Tahoma"/>
          <w:b/>
        </w:rPr>
        <w:t>1</w:t>
      </w:r>
      <w:r w:rsidR="002901A2">
        <w:rPr>
          <w:rFonts w:asciiTheme="minorHAnsi" w:eastAsia="Times New Roman" w:hAnsiTheme="minorHAnsi" w:cs="Tahoma"/>
        </w:rPr>
        <w:t xml:space="preserve">% delle </w:t>
      </w:r>
      <w:r w:rsidR="002901A2" w:rsidRPr="002901A2">
        <w:rPr>
          <w:rFonts w:asciiTheme="minorHAnsi" w:eastAsia="Times New Roman" w:hAnsiTheme="minorHAnsi" w:cs="Tahoma"/>
          <w:b/>
        </w:rPr>
        <w:t>montature</w:t>
      </w:r>
      <w:r w:rsidR="002901A2">
        <w:rPr>
          <w:rFonts w:asciiTheme="minorHAnsi" w:eastAsia="Times New Roman" w:hAnsiTheme="minorHAnsi" w:cs="Tahoma"/>
        </w:rPr>
        <w:t>)</w:t>
      </w:r>
      <w:r w:rsidR="00D360A4">
        <w:rPr>
          <w:rFonts w:asciiTheme="minorHAnsi" w:eastAsia="Times New Roman" w:hAnsiTheme="minorHAnsi" w:cs="Tahoma"/>
        </w:rPr>
        <w:t>;</w:t>
      </w:r>
      <w:r w:rsidR="002901A2">
        <w:rPr>
          <w:rFonts w:asciiTheme="minorHAnsi" w:eastAsia="Times New Roman" w:hAnsiTheme="minorHAnsi" w:cs="Tahoma"/>
        </w:rPr>
        <w:t xml:space="preserve"> </w:t>
      </w:r>
      <w:r w:rsidR="003946A9">
        <w:rPr>
          <w:rFonts w:asciiTheme="minorHAnsi" w:eastAsia="Times New Roman" w:hAnsiTheme="minorHAnsi" w:cs="Tahoma"/>
        </w:rPr>
        <w:t xml:space="preserve">in </w:t>
      </w:r>
      <w:r w:rsidR="003946A9" w:rsidRPr="00D71675">
        <w:rPr>
          <w:rFonts w:asciiTheme="minorHAnsi" w:eastAsia="Times New Roman" w:hAnsiTheme="minorHAnsi" w:cs="Tahoma"/>
          <w:b/>
        </w:rPr>
        <w:t xml:space="preserve">Portogallo </w:t>
      </w:r>
      <w:r w:rsidR="00D360A4" w:rsidRPr="00D360A4">
        <w:rPr>
          <w:rFonts w:asciiTheme="minorHAnsi" w:eastAsia="Times New Roman" w:hAnsiTheme="minorHAnsi" w:cs="Tahoma"/>
        </w:rPr>
        <w:t xml:space="preserve">la </w:t>
      </w:r>
      <w:r w:rsidR="003946A9">
        <w:rPr>
          <w:rFonts w:asciiTheme="minorHAnsi" w:eastAsia="Times New Roman" w:hAnsiTheme="minorHAnsi" w:cs="Tahoma"/>
        </w:rPr>
        <w:t xml:space="preserve">variazione tendenziale </w:t>
      </w:r>
      <w:r w:rsidR="002901A2">
        <w:rPr>
          <w:rFonts w:asciiTheme="minorHAnsi" w:eastAsia="Times New Roman" w:hAnsiTheme="minorHAnsi" w:cs="Tahoma"/>
        </w:rPr>
        <w:t xml:space="preserve">complessiva </w:t>
      </w:r>
      <w:r w:rsidR="00D360A4">
        <w:rPr>
          <w:rFonts w:asciiTheme="minorHAnsi" w:eastAsia="Times New Roman" w:hAnsiTheme="minorHAnsi" w:cs="Tahoma"/>
        </w:rPr>
        <w:t xml:space="preserve">è stata </w:t>
      </w:r>
      <w:r w:rsidR="003946A9">
        <w:rPr>
          <w:rFonts w:asciiTheme="minorHAnsi" w:eastAsia="Times New Roman" w:hAnsiTheme="minorHAnsi" w:cs="Tahoma"/>
        </w:rPr>
        <w:t>del</w:t>
      </w:r>
      <w:r w:rsidR="00D360A4">
        <w:rPr>
          <w:rFonts w:asciiTheme="minorHAnsi" w:eastAsia="Times New Roman" w:hAnsiTheme="minorHAnsi" w:cs="Tahoma"/>
        </w:rPr>
        <w:t>l’</w:t>
      </w:r>
      <w:r w:rsidR="003946A9" w:rsidRPr="00D71675">
        <w:rPr>
          <w:rFonts w:asciiTheme="minorHAnsi" w:eastAsia="Times New Roman" w:hAnsiTheme="minorHAnsi" w:cs="Tahoma"/>
          <w:b/>
        </w:rPr>
        <w:t>1</w:t>
      </w:r>
      <w:r w:rsidR="00D360A4">
        <w:rPr>
          <w:rFonts w:asciiTheme="minorHAnsi" w:eastAsia="Times New Roman" w:hAnsiTheme="minorHAnsi" w:cs="Tahoma"/>
          <w:b/>
        </w:rPr>
        <w:t>1</w:t>
      </w:r>
      <w:r w:rsidR="003946A9" w:rsidRPr="00D71675">
        <w:rPr>
          <w:rFonts w:asciiTheme="minorHAnsi" w:eastAsia="Times New Roman" w:hAnsiTheme="minorHAnsi" w:cs="Tahoma"/>
          <w:b/>
        </w:rPr>
        <w:t>,</w:t>
      </w:r>
      <w:r w:rsidR="00D360A4">
        <w:rPr>
          <w:rFonts w:asciiTheme="minorHAnsi" w:eastAsia="Times New Roman" w:hAnsiTheme="minorHAnsi" w:cs="Tahoma"/>
          <w:b/>
        </w:rPr>
        <w:t>8</w:t>
      </w:r>
      <w:r w:rsidR="003946A9" w:rsidRPr="008A56E3">
        <w:rPr>
          <w:rFonts w:asciiTheme="minorHAnsi" w:eastAsia="Times New Roman" w:hAnsiTheme="minorHAnsi" w:cs="Tahoma"/>
        </w:rPr>
        <w:t>%</w:t>
      </w:r>
      <w:r w:rsidR="003946A9">
        <w:rPr>
          <w:rFonts w:asciiTheme="minorHAnsi" w:eastAsia="Times New Roman" w:hAnsiTheme="minorHAnsi" w:cs="Tahoma"/>
        </w:rPr>
        <w:t xml:space="preserve"> </w:t>
      </w:r>
      <w:r w:rsidR="002901A2">
        <w:rPr>
          <w:rFonts w:asciiTheme="minorHAnsi" w:eastAsia="Times New Roman" w:hAnsiTheme="minorHAnsi" w:cs="Tahoma"/>
        </w:rPr>
        <w:t>(</w:t>
      </w:r>
      <w:r w:rsidR="003946A9">
        <w:rPr>
          <w:rFonts w:asciiTheme="minorHAnsi" w:eastAsia="Times New Roman" w:hAnsiTheme="minorHAnsi" w:cs="Tahoma"/>
        </w:rPr>
        <w:t xml:space="preserve">declinata </w:t>
      </w:r>
      <w:r w:rsidR="00D71675">
        <w:rPr>
          <w:rFonts w:asciiTheme="minorHAnsi" w:eastAsia="Times New Roman" w:hAnsiTheme="minorHAnsi" w:cs="Tahoma"/>
        </w:rPr>
        <w:t>in un +</w:t>
      </w:r>
      <w:r w:rsidR="00D360A4">
        <w:rPr>
          <w:rFonts w:asciiTheme="minorHAnsi" w:eastAsia="Times New Roman" w:hAnsiTheme="minorHAnsi" w:cs="Tahoma"/>
          <w:b/>
        </w:rPr>
        <w:t>19</w:t>
      </w:r>
      <w:r w:rsidR="00D71675" w:rsidRPr="00D71675">
        <w:rPr>
          <w:rFonts w:asciiTheme="minorHAnsi" w:eastAsia="Times New Roman" w:hAnsiTheme="minorHAnsi" w:cs="Tahoma"/>
          <w:b/>
        </w:rPr>
        <w:t>,</w:t>
      </w:r>
      <w:r w:rsidR="00D360A4">
        <w:rPr>
          <w:rFonts w:asciiTheme="minorHAnsi" w:eastAsia="Times New Roman" w:hAnsiTheme="minorHAnsi" w:cs="Tahoma"/>
          <w:b/>
        </w:rPr>
        <w:t>5</w:t>
      </w:r>
      <w:r w:rsidR="00D71675" w:rsidRPr="008A56E3">
        <w:rPr>
          <w:rFonts w:asciiTheme="minorHAnsi" w:eastAsia="Times New Roman" w:hAnsiTheme="minorHAnsi" w:cs="Tahoma"/>
        </w:rPr>
        <w:t>%</w:t>
      </w:r>
      <w:r w:rsidR="00D71675" w:rsidRPr="00D71675">
        <w:rPr>
          <w:rFonts w:asciiTheme="minorHAnsi" w:eastAsia="Times New Roman" w:hAnsiTheme="minorHAnsi" w:cs="Tahoma"/>
          <w:b/>
        </w:rPr>
        <w:t xml:space="preserve"> per il sole</w:t>
      </w:r>
      <w:r w:rsidR="00D71675">
        <w:rPr>
          <w:rFonts w:asciiTheme="minorHAnsi" w:eastAsia="Times New Roman" w:hAnsiTheme="minorHAnsi" w:cs="Tahoma"/>
        </w:rPr>
        <w:t xml:space="preserve"> </w:t>
      </w:r>
      <w:r w:rsidR="00D360A4">
        <w:rPr>
          <w:rFonts w:asciiTheme="minorHAnsi" w:eastAsia="Times New Roman" w:hAnsiTheme="minorHAnsi" w:cs="Tahoma"/>
        </w:rPr>
        <w:t>e</w:t>
      </w:r>
      <w:r w:rsidR="002901A2">
        <w:rPr>
          <w:rFonts w:asciiTheme="minorHAnsi" w:eastAsia="Times New Roman" w:hAnsiTheme="minorHAnsi" w:cs="Tahoma"/>
        </w:rPr>
        <w:t xml:space="preserve"> -</w:t>
      </w:r>
      <w:r w:rsidR="00D360A4">
        <w:rPr>
          <w:rFonts w:asciiTheme="minorHAnsi" w:eastAsia="Times New Roman" w:hAnsiTheme="minorHAnsi" w:cs="Tahoma"/>
          <w:b/>
        </w:rPr>
        <w:t>0</w:t>
      </w:r>
      <w:r w:rsidR="00D71675" w:rsidRPr="00D71675">
        <w:rPr>
          <w:rFonts w:asciiTheme="minorHAnsi" w:eastAsia="Times New Roman" w:hAnsiTheme="minorHAnsi" w:cs="Tahoma"/>
          <w:b/>
        </w:rPr>
        <w:t>,</w:t>
      </w:r>
      <w:r w:rsidR="00D360A4">
        <w:rPr>
          <w:rFonts w:asciiTheme="minorHAnsi" w:eastAsia="Times New Roman" w:hAnsiTheme="minorHAnsi" w:cs="Tahoma"/>
          <w:b/>
        </w:rPr>
        <w:t>6</w:t>
      </w:r>
      <w:r w:rsidR="00D71675" w:rsidRPr="008A56E3">
        <w:rPr>
          <w:rFonts w:asciiTheme="minorHAnsi" w:eastAsia="Times New Roman" w:hAnsiTheme="minorHAnsi" w:cs="Tahoma"/>
        </w:rPr>
        <w:t>%</w:t>
      </w:r>
      <w:r w:rsidR="00D71675" w:rsidRPr="00D71675">
        <w:rPr>
          <w:rFonts w:asciiTheme="minorHAnsi" w:eastAsia="Times New Roman" w:hAnsiTheme="minorHAnsi" w:cs="Tahoma"/>
          <w:b/>
        </w:rPr>
        <w:t xml:space="preserve"> per </w:t>
      </w:r>
      <w:proofErr w:type="gramStart"/>
      <w:r w:rsidR="00D71675" w:rsidRPr="00D71675">
        <w:rPr>
          <w:rFonts w:asciiTheme="minorHAnsi" w:eastAsia="Times New Roman" w:hAnsiTheme="minorHAnsi" w:cs="Tahoma"/>
          <w:b/>
        </w:rPr>
        <w:t>il vista</w:t>
      </w:r>
      <w:proofErr w:type="gramEnd"/>
      <w:r w:rsidR="002901A2" w:rsidRPr="009A516B">
        <w:rPr>
          <w:rFonts w:asciiTheme="minorHAnsi" w:eastAsia="Times New Roman" w:hAnsiTheme="minorHAnsi" w:cs="Tahoma"/>
        </w:rPr>
        <w:t>)</w:t>
      </w:r>
      <w:r w:rsidR="00D71675">
        <w:rPr>
          <w:rFonts w:asciiTheme="minorHAnsi" w:eastAsia="Times New Roman" w:hAnsiTheme="minorHAnsi" w:cs="Tahoma"/>
        </w:rPr>
        <w:t>.</w:t>
      </w:r>
      <w:r w:rsidR="002901A2">
        <w:rPr>
          <w:rFonts w:asciiTheme="minorHAnsi" w:eastAsia="Times New Roman" w:hAnsiTheme="minorHAnsi" w:cs="Tahoma"/>
        </w:rPr>
        <w:t xml:space="preserve"> </w:t>
      </w:r>
    </w:p>
    <w:p w:rsidR="003946A9" w:rsidRDefault="003946A9" w:rsidP="003946A9">
      <w:pPr>
        <w:pStyle w:val="Paragrafoelenco"/>
        <w:rPr>
          <w:rFonts w:asciiTheme="minorHAnsi" w:hAnsiTheme="minorHAnsi" w:cs="Tahoma"/>
        </w:rPr>
      </w:pPr>
    </w:p>
    <w:p w:rsidR="008179C7" w:rsidRPr="007C2F51" w:rsidRDefault="00D360A4" w:rsidP="00F87430">
      <w:pPr>
        <w:pStyle w:val="xl23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  <w:b/>
        </w:rPr>
      </w:pPr>
      <w:bookmarkStart w:id="0" w:name="_Hlk506802114"/>
      <w:r w:rsidRPr="007C2F51">
        <w:rPr>
          <w:rFonts w:asciiTheme="minorHAnsi" w:eastAsia="Times New Roman" w:hAnsiTheme="minorHAnsi" w:cs="Tahoma"/>
        </w:rPr>
        <w:t>U</w:t>
      </w:r>
      <w:r w:rsidR="009169CE" w:rsidRPr="007C2F51">
        <w:rPr>
          <w:rFonts w:asciiTheme="minorHAnsi" w:eastAsia="Times New Roman" w:hAnsiTheme="minorHAnsi" w:cs="Tahoma"/>
        </w:rPr>
        <w:t>n</w:t>
      </w:r>
      <w:r w:rsidR="00710E8E">
        <w:rPr>
          <w:rFonts w:asciiTheme="minorHAnsi" w:eastAsia="Times New Roman" w:hAnsiTheme="minorHAnsi" w:cs="Tahoma"/>
        </w:rPr>
        <w:t xml:space="preserve"> </w:t>
      </w:r>
      <w:r w:rsidR="009169CE" w:rsidRPr="007C2F51">
        <w:rPr>
          <w:rFonts w:asciiTheme="minorHAnsi" w:eastAsia="Times New Roman" w:hAnsiTheme="minorHAnsi" w:cs="Tahoma"/>
        </w:rPr>
        <w:t xml:space="preserve">capitolo a parte merita </w:t>
      </w:r>
      <w:r w:rsidR="00397BEE" w:rsidRPr="007C2F51">
        <w:rPr>
          <w:rFonts w:asciiTheme="minorHAnsi" w:eastAsia="Times New Roman" w:hAnsiTheme="minorHAnsi" w:cs="Tahoma"/>
        </w:rPr>
        <w:t xml:space="preserve">l’andamento delle esportazioni </w:t>
      </w:r>
      <w:r w:rsidR="009169CE" w:rsidRPr="007C2F51">
        <w:rPr>
          <w:rFonts w:asciiTheme="minorHAnsi" w:eastAsia="Times New Roman" w:hAnsiTheme="minorHAnsi" w:cs="Tahoma"/>
        </w:rPr>
        <w:t xml:space="preserve">dell’occhialeria </w:t>
      </w:r>
      <w:r w:rsidR="00397BEE" w:rsidRPr="007C2F51">
        <w:rPr>
          <w:rFonts w:asciiTheme="minorHAnsi" w:eastAsia="Times New Roman" w:hAnsiTheme="minorHAnsi" w:cs="Tahoma"/>
        </w:rPr>
        <w:t xml:space="preserve">nei </w:t>
      </w:r>
      <w:r w:rsidR="00397BEE" w:rsidRPr="007C2F51">
        <w:rPr>
          <w:rFonts w:asciiTheme="minorHAnsi" w:eastAsia="Times New Roman" w:hAnsiTheme="minorHAnsi" w:cs="Tahoma"/>
          <w:b/>
        </w:rPr>
        <w:t>paesi emergenti</w:t>
      </w:r>
      <w:r w:rsidR="009169CE" w:rsidRPr="007C2F51">
        <w:rPr>
          <w:rFonts w:asciiTheme="minorHAnsi" w:eastAsia="Times New Roman" w:hAnsiTheme="minorHAnsi" w:cs="Tahoma"/>
        </w:rPr>
        <w:t xml:space="preserve">. </w:t>
      </w:r>
      <w:r w:rsidR="007C2F51" w:rsidRPr="007C2F51">
        <w:rPr>
          <w:rFonts w:asciiTheme="minorHAnsi" w:eastAsia="Times New Roman" w:hAnsiTheme="minorHAnsi" w:cs="Tahoma"/>
        </w:rPr>
        <w:t>A livello di quote di mercato i numeri sono ancora poco significativi</w:t>
      </w:r>
      <w:r w:rsidR="007C2F51">
        <w:rPr>
          <w:rFonts w:asciiTheme="minorHAnsi" w:eastAsia="Times New Roman" w:hAnsiTheme="minorHAnsi" w:cs="Tahoma"/>
        </w:rPr>
        <w:t>,</w:t>
      </w:r>
      <w:r w:rsidR="007C2F51" w:rsidRPr="007C2F51">
        <w:rPr>
          <w:rFonts w:asciiTheme="minorHAnsi" w:eastAsia="Times New Roman" w:hAnsiTheme="minorHAnsi" w:cs="Tahoma"/>
        </w:rPr>
        <w:t xml:space="preserve"> tuttavia, </w:t>
      </w:r>
      <w:r w:rsidR="00991859">
        <w:rPr>
          <w:rFonts w:asciiTheme="minorHAnsi" w:eastAsia="Times New Roman" w:hAnsiTheme="minorHAnsi" w:cs="Tahoma"/>
        </w:rPr>
        <w:t>si tratta di numeri che in alcuni casi cominciano a diventare significativi. È il caso ad esempio della Cina che nel 2017 ha assorbito una quota di oltre il 5% sulle esportazioni complessive del settore. È evidente che è ancora molto poco per un paese delle dimensioni della Cina che ha potenzialità molto più grandi, però inizia a essere una quota degna di essere menzionata e monitorata.</w:t>
      </w:r>
      <w:bookmarkEnd w:id="0"/>
      <w:r w:rsidR="00991859">
        <w:rPr>
          <w:rFonts w:asciiTheme="minorHAnsi" w:eastAsia="Times New Roman" w:hAnsiTheme="minorHAnsi" w:cs="Tahoma"/>
        </w:rPr>
        <w:t xml:space="preserve"> Nel 2017 l’andamento dell’export in questi paesi è stato altalenante, con alcuni risultati molto positivi come in Cina appunto, in Russia e in Messico.  </w:t>
      </w:r>
      <w:r w:rsidR="00C56871" w:rsidRPr="007C2F51">
        <w:rPr>
          <w:rFonts w:asciiTheme="minorHAnsi" w:eastAsia="Times New Roman" w:hAnsiTheme="minorHAnsi" w:cs="Tahoma"/>
        </w:rPr>
        <w:t>R</w:t>
      </w:r>
      <w:r w:rsidR="003B5D13" w:rsidRPr="007C2F51">
        <w:rPr>
          <w:rFonts w:asciiTheme="minorHAnsi" w:eastAsia="Times New Roman" w:hAnsiTheme="minorHAnsi" w:cs="Tahoma"/>
        </w:rPr>
        <w:t>iporti</w:t>
      </w:r>
      <w:r w:rsidR="008179C7" w:rsidRPr="007C2F51">
        <w:rPr>
          <w:rFonts w:asciiTheme="minorHAnsi" w:eastAsia="Times New Roman" w:hAnsiTheme="minorHAnsi" w:cs="Tahoma"/>
        </w:rPr>
        <w:t>amo</w:t>
      </w:r>
      <w:r w:rsidR="00F515DA" w:rsidRPr="007C2F51">
        <w:rPr>
          <w:rFonts w:asciiTheme="minorHAnsi" w:eastAsia="Times New Roman" w:hAnsiTheme="minorHAnsi" w:cs="Tahoma"/>
        </w:rPr>
        <w:t>,</w:t>
      </w:r>
      <w:r w:rsidR="009C3063" w:rsidRPr="007C2F51">
        <w:rPr>
          <w:rFonts w:asciiTheme="minorHAnsi" w:eastAsia="Times New Roman" w:hAnsiTheme="minorHAnsi" w:cs="Tahoma"/>
        </w:rPr>
        <w:t xml:space="preserve"> </w:t>
      </w:r>
      <w:r w:rsidR="008179C7" w:rsidRPr="007C2F51">
        <w:rPr>
          <w:rFonts w:asciiTheme="minorHAnsi" w:eastAsia="Times New Roman" w:hAnsiTheme="minorHAnsi" w:cs="Tahoma"/>
        </w:rPr>
        <w:t>i</w:t>
      </w:r>
      <w:r w:rsidR="006E0867" w:rsidRPr="007C2F51">
        <w:rPr>
          <w:rFonts w:asciiTheme="minorHAnsi" w:eastAsia="Times New Roman" w:hAnsiTheme="minorHAnsi" w:cs="Tahoma"/>
        </w:rPr>
        <w:t>n</w:t>
      </w:r>
      <w:r w:rsidR="008179C7" w:rsidRPr="007C2F51">
        <w:rPr>
          <w:rFonts w:asciiTheme="minorHAnsi" w:eastAsia="Times New Roman" w:hAnsiTheme="minorHAnsi" w:cs="Tahoma"/>
        </w:rPr>
        <w:t xml:space="preserve"> </w:t>
      </w:r>
      <w:r w:rsidR="006E0867" w:rsidRPr="007C2F51">
        <w:rPr>
          <w:rFonts w:asciiTheme="minorHAnsi" w:eastAsia="Times New Roman" w:hAnsiTheme="minorHAnsi" w:cs="Tahoma"/>
        </w:rPr>
        <w:t>ordine di rilevanza rispetto alla quota attuale che assorbono delle esportazioni del settore</w:t>
      </w:r>
      <w:r w:rsidR="00F515DA" w:rsidRPr="007C2F51">
        <w:rPr>
          <w:rFonts w:asciiTheme="minorHAnsi" w:eastAsia="Times New Roman" w:hAnsiTheme="minorHAnsi" w:cs="Tahoma"/>
        </w:rPr>
        <w:t>,</w:t>
      </w:r>
      <w:r w:rsidR="006E0867" w:rsidRPr="007C2F51">
        <w:rPr>
          <w:rFonts w:asciiTheme="minorHAnsi" w:eastAsia="Times New Roman" w:hAnsiTheme="minorHAnsi" w:cs="Tahoma"/>
        </w:rPr>
        <w:t xml:space="preserve"> le variazioni </w:t>
      </w:r>
      <w:r w:rsidR="008179C7" w:rsidRPr="007C2F51">
        <w:rPr>
          <w:rFonts w:asciiTheme="minorHAnsi" w:eastAsia="Times New Roman" w:hAnsiTheme="minorHAnsi" w:cs="Tahoma"/>
        </w:rPr>
        <w:t xml:space="preserve">tendenziali registrate </w:t>
      </w:r>
      <w:r w:rsidR="00C56871" w:rsidRPr="007C2F51">
        <w:rPr>
          <w:rFonts w:asciiTheme="minorHAnsi" w:eastAsia="Times New Roman" w:hAnsiTheme="minorHAnsi" w:cs="Tahoma"/>
        </w:rPr>
        <w:t>n</w:t>
      </w:r>
      <w:r w:rsidR="008179C7" w:rsidRPr="007C2F51">
        <w:rPr>
          <w:rFonts w:asciiTheme="minorHAnsi" w:eastAsia="Times New Roman" w:hAnsiTheme="minorHAnsi" w:cs="Tahoma"/>
        </w:rPr>
        <w:t>el 201</w:t>
      </w:r>
      <w:r w:rsidR="00991859">
        <w:rPr>
          <w:rFonts w:asciiTheme="minorHAnsi" w:eastAsia="Times New Roman" w:hAnsiTheme="minorHAnsi" w:cs="Tahoma"/>
        </w:rPr>
        <w:t>7</w:t>
      </w:r>
      <w:r w:rsidR="00CF2D64" w:rsidRPr="007C2F51">
        <w:rPr>
          <w:rFonts w:asciiTheme="minorHAnsi" w:eastAsia="Times New Roman" w:hAnsiTheme="minorHAnsi" w:cs="Tahoma"/>
        </w:rPr>
        <w:t xml:space="preserve"> </w:t>
      </w:r>
      <w:r w:rsidR="00C56871" w:rsidRPr="007C2F51">
        <w:rPr>
          <w:rFonts w:asciiTheme="minorHAnsi" w:eastAsia="Times New Roman" w:hAnsiTheme="minorHAnsi" w:cs="Tahoma"/>
        </w:rPr>
        <w:t>in questi paesi</w:t>
      </w:r>
      <w:r w:rsidR="00C82B1F" w:rsidRPr="007C2F51">
        <w:rPr>
          <w:rFonts w:asciiTheme="minorHAnsi" w:eastAsia="Times New Roman" w:hAnsiTheme="minorHAnsi" w:cs="Tahoma"/>
        </w:rPr>
        <w:t>:</w:t>
      </w:r>
    </w:p>
    <w:p w:rsidR="008179C7" w:rsidRPr="0049001B" w:rsidRDefault="008179C7" w:rsidP="008179C7">
      <w:pPr>
        <w:pStyle w:val="Paragrafoelenco"/>
        <w:rPr>
          <w:rFonts w:asciiTheme="minorHAnsi" w:hAnsiTheme="minorHAnsi" w:cs="Tahoma"/>
          <w:sz w:val="24"/>
        </w:rPr>
      </w:pPr>
    </w:p>
    <w:p w:rsidR="009C3063" w:rsidRDefault="009C3063" w:rsidP="009C3063">
      <w:pPr>
        <w:pStyle w:val="xl23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9C3063">
        <w:rPr>
          <w:rFonts w:asciiTheme="minorHAnsi" w:eastAsia="Times New Roman" w:hAnsiTheme="minorHAnsi" w:cs="Tahoma"/>
          <w:b/>
        </w:rPr>
        <w:t xml:space="preserve">Cina </w:t>
      </w:r>
      <w:r w:rsidRPr="009C3063">
        <w:rPr>
          <w:rFonts w:asciiTheme="minorHAnsi" w:eastAsia="Times New Roman" w:hAnsiTheme="minorHAnsi" w:cs="Tahoma"/>
        </w:rPr>
        <w:t>+</w:t>
      </w:r>
      <w:r w:rsidR="004D6E32">
        <w:rPr>
          <w:rFonts w:asciiTheme="minorHAnsi" w:eastAsia="Times New Roman" w:hAnsiTheme="minorHAnsi" w:cs="Tahoma"/>
          <w:b/>
        </w:rPr>
        <w:t>18</w:t>
      </w:r>
      <w:r w:rsidR="00B64E74">
        <w:rPr>
          <w:rFonts w:asciiTheme="minorHAnsi" w:eastAsia="Times New Roman" w:hAnsiTheme="minorHAnsi" w:cs="Tahoma"/>
          <w:b/>
        </w:rPr>
        <w:t>,</w:t>
      </w:r>
      <w:r w:rsidR="004D6E32">
        <w:rPr>
          <w:rFonts w:asciiTheme="minorHAnsi" w:eastAsia="Times New Roman" w:hAnsiTheme="minorHAnsi" w:cs="Tahoma"/>
          <w:b/>
        </w:rPr>
        <w:t>1</w:t>
      </w:r>
      <w:r w:rsidRPr="008A56E3">
        <w:rPr>
          <w:rFonts w:asciiTheme="minorHAnsi" w:eastAsia="Times New Roman" w:hAnsiTheme="minorHAnsi" w:cs="Tahoma"/>
        </w:rPr>
        <w:t>%</w:t>
      </w:r>
      <w:r w:rsidRPr="009C3063">
        <w:rPr>
          <w:rFonts w:asciiTheme="minorHAnsi" w:eastAsia="Times New Roman" w:hAnsiTheme="minorHAnsi" w:cs="Tahoma"/>
          <w:b/>
        </w:rPr>
        <w:t xml:space="preserve"> </w:t>
      </w:r>
      <w:r w:rsidRPr="009C3063">
        <w:rPr>
          <w:rFonts w:asciiTheme="minorHAnsi" w:eastAsia="Times New Roman" w:hAnsiTheme="minorHAnsi" w:cs="Tahoma"/>
        </w:rPr>
        <w:t>(+</w:t>
      </w:r>
      <w:r w:rsidR="00AB723C">
        <w:rPr>
          <w:rFonts w:asciiTheme="minorHAnsi" w:eastAsia="Times New Roman" w:hAnsiTheme="minorHAnsi" w:cs="Tahoma"/>
        </w:rPr>
        <w:t>22</w:t>
      </w:r>
      <w:r w:rsidR="00CF2D64">
        <w:rPr>
          <w:rFonts w:asciiTheme="minorHAnsi" w:eastAsia="Times New Roman" w:hAnsiTheme="minorHAnsi" w:cs="Tahoma"/>
        </w:rPr>
        <w:t>,</w:t>
      </w:r>
      <w:r w:rsidR="00AB723C">
        <w:rPr>
          <w:rFonts w:asciiTheme="minorHAnsi" w:eastAsia="Times New Roman" w:hAnsiTheme="minorHAnsi" w:cs="Tahoma"/>
        </w:rPr>
        <w:t>2</w:t>
      </w:r>
      <w:r w:rsidR="00CF2D64">
        <w:rPr>
          <w:rFonts w:asciiTheme="minorHAnsi" w:eastAsia="Times New Roman" w:hAnsiTheme="minorHAnsi" w:cs="Tahoma"/>
        </w:rPr>
        <w:t xml:space="preserve"> il</w:t>
      </w:r>
      <w:r w:rsidRPr="009C3063">
        <w:rPr>
          <w:rFonts w:asciiTheme="minorHAnsi" w:eastAsia="Times New Roman" w:hAnsiTheme="minorHAnsi" w:cs="Tahoma"/>
        </w:rPr>
        <w:t xml:space="preserve"> sole e </w:t>
      </w:r>
      <w:r w:rsidR="00AB723C">
        <w:rPr>
          <w:rFonts w:asciiTheme="minorHAnsi" w:eastAsia="Times New Roman" w:hAnsiTheme="minorHAnsi" w:cs="Tahoma"/>
        </w:rPr>
        <w:t>+7,2</w:t>
      </w:r>
      <w:r w:rsidRPr="009C3063">
        <w:rPr>
          <w:rFonts w:asciiTheme="minorHAnsi" w:eastAsia="Times New Roman" w:hAnsiTheme="minorHAnsi" w:cs="Tahoma"/>
        </w:rPr>
        <w:t>% le montature)</w:t>
      </w:r>
    </w:p>
    <w:p w:rsidR="004D6E32" w:rsidRDefault="004D6E32" w:rsidP="004D6E32">
      <w:pPr>
        <w:pStyle w:val="xl23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49001B">
        <w:rPr>
          <w:rFonts w:asciiTheme="minorHAnsi" w:eastAsia="Times New Roman" w:hAnsiTheme="minorHAnsi" w:cs="Tahoma"/>
          <w:b/>
        </w:rPr>
        <w:t>Turchia</w:t>
      </w:r>
      <w:r w:rsidRPr="0049001B">
        <w:rPr>
          <w:rFonts w:asciiTheme="minorHAnsi" w:eastAsia="Times New Roman" w:hAnsiTheme="minorHAnsi" w:cs="Tahoma"/>
        </w:rPr>
        <w:t xml:space="preserve"> </w:t>
      </w:r>
      <w:r>
        <w:rPr>
          <w:rFonts w:asciiTheme="minorHAnsi" w:eastAsia="Times New Roman" w:hAnsiTheme="minorHAnsi" w:cs="Tahoma"/>
        </w:rPr>
        <w:t>+</w:t>
      </w:r>
      <w:r>
        <w:rPr>
          <w:rFonts w:asciiTheme="minorHAnsi" w:eastAsia="Times New Roman" w:hAnsiTheme="minorHAnsi" w:cs="Tahoma"/>
          <w:b/>
        </w:rPr>
        <w:t>12,9</w:t>
      </w:r>
      <w:r w:rsidRPr="008A56E3">
        <w:rPr>
          <w:rFonts w:asciiTheme="minorHAnsi" w:eastAsia="Times New Roman" w:hAnsiTheme="minorHAnsi" w:cs="Tahoma"/>
        </w:rPr>
        <w:t>%</w:t>
      </w:r>
      <w:r w:rsidRPr="0049001B">
        <w:rPr>
          <w:rFonts w:asciiTheme="minorHAnsi" w:eastAsia="Times New Roman" w:hAnsiTheme="minorHAnsi" w:cs="Tahoma"/>
          <w:b/>
        </w:rPr>
        <w:t xml:space="preserve"> </w:t>
      </w:r>
      <w:r w:rsidRPr="0049001B">
        <w:rPr>
          <w:rFonts w:asciiTheme="minorHAnsi" w:eastAsia="Times New Roman" w:hAnsiTheme="minorHAnsi" w:cs="Tahoma"/>
        </w:rPr>
        <w:t>(</w:t>
      </w:r>
      <w:r w:rsidR="00AB723C">
        <w:rPr>
          <w:rFonts w:asciiTheme="minorHAnsi" w:eastAsia="Times New Roman" w:hAnsiTheme="minorHAnsi" w:cs="Tahoma"/>
        </w:rPr>
        <w:t>+13,3</w:t>
      </w:r>
      <w:r w:rsidRPr="0049001B">
        <w:rPr>
          <w:rFonts w:asciiTheme="minorHAnsi" w:eastAsia="Times New Roman" w:hAnsiTheme="minorHAnsi" w:cs="Tahoma"/>
        </w:rPr>
        <w:t xml:space="preserve">% il sole e </w:t>
      </w:r>
      <w:r w:rsidR="00AB723C">
        <w:rPr>
          <w:rFonts w:asciiTheme="minorHAnsi" w:eastAsia="Times New Roman" w:hAnsiTheme="minorHAnsi" w:cs="Tahoma"/>
        </w:rPr>
        <w:t>+11</w:t>
      </w:r>
      <w:r w:rsidRPr="0049001B">
        <w:rPr>
          <w:rFonts w:asciiTheme="minorHAnsi" w:eastAsia="Times New Roman" w:hAnsiTheme="minorHAnsi" w:cs="Tahoma"/>
        </w:rPr>
        <w:t>% le montature)</w:t>
      </w:r>
    </w:p>
    <w:p w:rsidR="004D6E32" w:rsidRDefault="004D6E32" w:rsidP="004D6E32">
      <w:pPr>
        <w:pStyle w:val="Paragrafoelenco"/>
        <w:numPr>
          <w:ilvl w:val="0"/>
          <w:numId w:val="7"/>
        </w:numPr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b/>
          <w:sz w:val="24"/>
        </w:rPr>
        <w:t>Messico</w:t>
      </w:r>
      <w:r w:rsidRPr="00C56871">
        <w:rPr>
          <w:rFonts w:asciiTheme="minorHAnsi" w:hAnsiTheme="minorHAnsi" w:cs="Tahoma"/>
          <w:b/>
          <w:sz w:val="24"/>
        </w:rPr>
        <w:t xml:space="preserve"> </w:t>
      </w:r>
      <w:r w:rsidRPr="0026026A">
        <w:rPr>
          <w:rFonts w:asciiTheme="minorHAnsi" w:hAnsiTheme="minorHAnsi" w:cs="Tahoma"/>
          <w:sz w:val="24"/>
        </w:rPr>
        <w:t>+</w:t>
      </w:r>
      <w:r>
        <w:rPr>
          <w:rFonts w:asciiTheme="minorHAnsi" w:hAnsiTheme="minorHAnsi" w:cs="Tahoma"/>
          <w:b/>
          <w:sz w:val="24"/>
        </w:rPr>
        <w:t>39,7</w:t>
      </w:r>
      <w:r w:rsidRPr="008A56E3">
        <w:rPr>
          <w:rFonts w:asciiTheme="minorHAnsi" w:hAnsiTheme="minorHAnsi" w:cs="Tahoma"/>
          <w:sz w:val="24"/>
        </w:rPr>
        <w:t>%</w:t>
      </w:r>
      <w:r w:rsidRPr="00C56871">
        <w:rPr>
          <w:rFonts w:asciiTheme="minorHAnsi" w:hAnsiTheme="minorHAnsi" w:cs="Tahoma"/>
          <w:sz w:val="24"/>
        </w:rPr>
        <w:t xml:space="preserve"> (</w:t>
      </w:r>
      <w:r>
        <w:rPr>
          <w:rFonts w:asciiTheme="minorHAnsi" w:hAnsiTheme="minorHAnsi" w:cs="Tahoma"/>
          <w:sz w:val="24"/>
        </w:rPr>
        <w:t>+2</w:t>
      </w:r>
      <w:r w:rsidR="00AB723C">
        <w:rPr>
          <w:rFonts w:asciiTheme="minorHAnsi" w:hAnsiTheme="minorHAnsi" w:cs="Tahoma"/>
          <w:sz w:val="24"/>
        </w:rPr>
        <w:t>7</w:t>
      </w:r>
      <w:r>
        <w:rPr>
          <w:rFonts w:asciiTheme="minorHAnsi" w:hAnsiTheme="minorHAnsi" w:cs="Tahoma"/>
          <w:sz w:val="24"/>
        </w:rPr>
        <w:t>,</w:t>
      </w:r>
      <w:r w:rsidR="00AB723C">
        <w:rPr>
          <w:rFonts w:asciiTheme="minorHAnsi" w:hAnsiTheme="minorHAnsi" w:cs="Tahoma"/>
          <w:sz w:val="24"/>
        </w:rPr>
        <w:t>2</w:t>
      </w:r>
      <w:r w:rsidRPr="00C56871">
        <w:rPr>
          <w:rFonts w:asciiTheme="minorHAnsi" w:hAnsiTheme="minorHAnsi" w:cs="Tahoma"/>
          <w:sz w:val="24"/>
        </w:rPr>
        <w:t>% il sole e +</w:t>
      </w:r>
      <w:r w:rsidR="00AB723C">
        <w:rPr>
          <w:rFonts w:asciiTheme="minorHAnsi" w:hAnsiTheme="minorHAnsi" w:cs="Tahoma"/>
          <w:sz w:val="24"/>
        </w:rPr>
        <w:t>74,4</w:t>
      </w:r>
      <w:r w:rsidRPr="00C56871">
        <w:rPr>
          <w:rFonts w:asciiTheme="minorHAnsi" w:hAnsiTheme="minorHAnsi" w:cs="Tahoma"/>
          <w:sz w:val="24"/>
        </w:rPr>
        <w:t>% le montature)</w:t>
      </w:r>
    </w:p>
    <w:p w:rsidR="00B64E74" w:rsidRDefault="00B64E74" w:rsidP="00B64E74">
      <w:pPr>
        <w:pStyle w:val="xl23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/>
        </w:rPr>
        <w:t>Emirati Arabi Uniti</w:t>
      </w:r>
      <w:r w:rsidRPr="0049001B">
        <w:rPr>
          <w:rFonts w:asciiTheme="minorHAnsi" w:eastAsia="Times New Roman" w:hAnsiTheme="minorHAnsi" w:cs="Tahoma"/>
        </w:rPr>
        <w:t xml:space="preserve"> </w:t>
      </w:r>
      <w:r>
        <w:rPr>
          <w:rFonts w:asciiTheme="minorHAnsi" w:eastAsia="Times New Roman" w:hAnsiTheme="minorHAnsi" w:cs="Tahoma"/>
        </w:rPr>
        <w:t>-</w:t>
      </w:r>
      <w:r>
        <w:rPr>
          <w:rFonts w:asciiTheme="minorHAnsi" w:eastAsia="Times New Roman" w:hAnsiTheme="minorHAnsi" w:cs="Tahoma"/>
          <w:b/>
        </w:rPr>
        <w:t>1</w:t>
      </w:r>
      <w:r w:rsidR="004D6E32">
        <w:rPr>
          <w:rFonts w:asciiTheme="minorHAnsi" w:eastAsia="Times New Roman" w:hAnsiTheme="minorHAnsi" w:cs="Tahoma"/>
          <w:b/>
        </w:rPr>
        <w:t>4</w:t>
      </w:r>
      <w:r w:rsidRPr="00CF2D64">
        <w:rPr>
          <w:rFonts w:asciiTheme="minorHAnsi" w:eastAsia="Times New Roman" w:hAnsiTheme="minorHAnsi" w:cs="Tahoma"/>
          <w:b/>
        </w:rPr>
        <w:t>,</w:t>
      </w:r>
      <w:r w:rsidR="004D6E32">
        <w:rPr>
          <w:rFonts w:asciiTheme="minorHAnsi" w:eastAsia="Times New Roman" w:hAnsiTheme="minorHAnsi" w:cs="Tahoma"/>
          <w:b/>
        </w:rPr>
        <w:t>8</w:t>
      </w:r>
      <w:r w:rsidRPr="008A56E3">
        <w:rPr>
          <w:rFonts w:asciiTheme="minorHAnsi" w:eastAsia="Times New Roman" w:hAnsiTheme="minorHAnsi" w:cs="Tahoma"/>
        </w:rPr>
        <w:t>%</w:t>
      </w:r>
      <w:r w:rsidRPr="0049001B">
        <w:rPr>
          <w:rFonts w:asciiTheme="minorHAnsi" w:eastAsia="Times New Roman" w:hAnsiTheme="minorHAnsi" w:cs="Tahoma"/>
          <w:b/>
        </w:rPr>
        <w:t xml:space="preserve"> </w:t>
      </w:r>
      <w:r w:rsidR="00AB723C">
        <w:rPr>
          <w:rFonts w:asciiTheme="minorHAnsi" w:eastAsia="Times New Roman" w:hAnsiTheme="minorHAnsi" w:cs="Tahoma"/>
        </w:rPr>
        <w:t>(-14,3</w:t>
      </w:r>
      <w:r w:rsidRPr="0049001B">
        <w:rPr>
          <w:rFonts w:asciiTheme="minorHAnsi" w:eastAsia="Times New Roman" w:hAnsiTheme="minorHAnsi" w:cs="Tahoma"/>
        </w:rPr>
        <w:t xml:space="preserve">% il sole e </w:t>
      </w:r>
      <w:r>
        <w:rPr>
          <w:rFonts w:asciiTheme="minorHAnsi" w:eastAsia="Times New Roman" w:hAnsiTheme="minorHAnsi" w:cs="Tahoma"/>
        </w:rPr>
        <w:t>-1</w:t>
      </w:r>
      <w:r w:rsidR="00AB723C">
        <w:rPr>
          <w:rFonts w:asciiTheme="minorHAnsi" w:eastAsia="Times New Roman" w:hAnsiTheme="minorHAnsi" w:cs="Tahoma"/>
        </w:rPr>
        <w:t>6,7</w:t>
      </w:r>
      <w:r>
        <w:rPr>
          <w:rFonts w:asciiTheme="minorHAnsi" w:eastAsia="Times New Roman" w:hAnsiTheme="minorHAnsi" w:cs="Tahoma"/>
        </w:rPr>
        <w:t>%</w:t>
      </w:r>
      <w:r w:rsidRPr="0049001B">
        <w:rPr>
          <w:rFonts w:asciiTheme="minorHAnsi" w:eastAsia="Times New Roman" w:hAnsiTheme="minorHAnsi" w:cs="Tahoma"/>
        </w:rPr>
        <w:t xml:space="preserve"> le montature)</w:t>
      </w:r>
    </w:p>
    <w:p w:rsidR="004D6E32" w:rsidRPr="004D6E32" w:rsidRDefault="004D6E32" w:rsidP="004D6E32">
      <w:pPr>
        <w:pStyle w:val="xl23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/>
        </w:rPr>
        <w:t>Brasile</w:t>
      </w:r>
      <w:r w:rsidRPr="0049001B">
        <w:rPr>
          <w:rFonts w:asciiTheme="minorHAnsi" w:eastAsia="Times New Roman" w:hAnsiTheme="minorHAnsi" w:cs="Tahoma"/>
        </w:rPr>
        <w:t xml:space="preserve"> </w:t>
      </w:r>
      <w:r>
        <w:rPr>
          <w:rFonts w:asciiTheme="minorHAnsi" w:eastAsia="Times New Roman" w:hAnsiTheme="minorHAnsi" w:cs="Tahoma"/>
        </w:rPr>
        <w:t>+</w:t>
      </w:r>
      <w:r w:rsidRPr="004D6E32">
        <w:rPr>
          <w:rFonts w:asciiTheme="minorHAnsi" w:eastAsia="Times New Roman" w:hAnsiTheme="minorHAnsi" w:cs="Tahoma"/>
          <w:b/>
        </w:rPr>
        <w:t>1,1</w:t>
      </w:r>
      <w:r w:rsidRPr="004D6E32">
        <w:rPr>
          <w:rFonts w:asciiTheme="minorHAnsi" w:eastAsia="Times New Roman" w:hAnsiTheme="minorHAnsi" w:cs="Tahoma"/>
        </w:rPr>
        <w:t>%</w:t>
      </w:r>
      <w:r w:rsidRPr="004D6E32">
        <w:rPr>
          <w:rFonts w:asciiTheme="minorHAnsi" w:eastAsia="Times New Roman" w:hAnsiTheme="minorHAnsi" w:cs="Tahoma"/>
          <w:b/>
        </w:rPr>
        <w:t xml:space="preserve"> </w:t>
      </w:r>
      <w:r w:rsidRPr="004D6E32">
        <w:rPr>
          <w:rFonts w:asciiTheme="minorHAnsi" w:eastAsia="Times New Roman" w:hAnsiTheme="minorHAnsi" w:cs="Tahoma"/>
        </w:rPr>
        <w:t>(-</w:t>
      </w:r>
      <w:r w:rsidR="00AB723C">
        <w:rPr>
          <w:rFonts w:asciiTheme="minorHAnsi" w:eastAsia="Times New Roman" w:hAnsiTheme="minorHAnsi" w:cs="Tahoma"/>
        </w:rPr>
        <w:t>1,1%</w:t>
      </w:r>
      <w:r w:rsidRPr="004D6E32">
        <w:rPr>
          <w:rFonts w:asciiTheme="minorHAnsi" w:eastAsia="Times New Roman" w:hAnsiTheme="minorHAnsi" w:cs="Tahoma"/>
        </w:rPr>
        <w:t xml:space="preserve"> il sole e </w:t>
      </w:r>
      <w:r w:rsidR="00AB723C">
        <w:rPr>
          <w:rFonts w:asciiTheme="minorHAnsi" w:eastAsia="Times New Roman" w:hAnsiTheme="minorHAnsi" w:cs="Tahoma"/>
        </w:rPr>
        <w:t>+5,1</w:t>
      </w:r>
      <w:r w:rsidRPr="004D6E32">
        <w:rPr>
          <w:rFonts w:asciiTheme="minorHAnsi" w:eastAsia="Times New Roman" w:hAnsiTheme="minorHAnsi" w:cs="Tahoma"/>
        </w:rPr>
        <w:t>% le montature)</w:t>
      </w:r>
    </w:p>
    <w:p w:rsidR="003B5D13" w:rsidRDefault="003B5D13" w:rsidP="003B5D13">
      <w:pPr>
        <w:pStyle w:val="xl23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 w:rsidRPr="0049001B">
        <w:rPr>
          <w:rFonts w:asciiTheme="minorHAnsi" w:eastAsia="Times New Roman" w:hAnsiTheme="minorHAnsi" w:cs="Tahoma"/>
          <w:b/>
        </w:rPr>
        <w:t>Corea del Sud</w:t>
      </w:r>
      <w:r w:rsidRPr="0049001B">
        <w:rPr>
          <w:rFonts w:asciiTheme="minorHAnsi" w:eastAsia="Times New Roman" w:hAnsiTheme="minorHAnsi" w:cs="Tahoma"/>
        </w:rPr>
        <w:t xml:space="preserve"> </w:t>
      </w:r>
      <w:r w:rsidR="00B64E74">
        <w:rPr>
          <w:rFonts w:asciiTheme="minorHAnsi" w:eastAsia="Times New Roman" w:hAnsiTheme="minorHAnsi" w:cs="Tahoma"/>
        </w:rPr>
        <w:t>-</w:t>
      </w:r>
      <w:r w:rsidR="004D6E32">
        <w:rPr>
          <w:rFonts w:asciiTheme="minorHAnsi" w:eastAsia="Times New Roman" w:hAnsiTheme="minorHAnsi" w:cs="Tahoma"/>
          <w:b/>
        </w:rPr>
        <w:t>14</w:t>
      </w:r>
      <w:r w:rsidRPr="003B5D13">
        <w:rPr>
          <w:rFonts w:asciiTheme="minorHAnsi" w:eastAsia="Times New Roman" w:hAnsiTheme="minorHAnsi" w:cs="Tahoma"/>
          <w:b/>
        </w:rPr>
        <w:t>,</w:t>
      </w:r>
      <w:r w:rsidR="00B64E74">
        <w:rPr>
          <w:rFonts w:asciiTheme="minorHAnsi" w:eastAsia="Times New Roman" w:hAnsiTheme="minorHAnsi" w:cs="Tahoma"/>
          <w:b/>
        </w:rPr>
        <w:t>4</w:t>
      </w:r>
      <w:r w:rsidRPr="008A56E3">
        <w:rPr>
          <w:rFonts w:asciiTheme="minorHAnsi" w:eastAsia="Times New Roman" w:hAnsiTheme="minorHAnsi" w:cs="Tahoma"/>
        </w:rPr>
        <w:t>%</w:t>
      </w:r>
      <w:r w:rsidRPr="0049001B">
        <w:rPr>
          <w:rFonts w:asciiTheme="minorHAnsi" w:eastAsia="Times New Roman" w:hAnsiTheme="minorHAnsi" w:cs="Tahoma"/>
          <w:b/>
        </w:rPr>
        <w:t xml:space="preserve"> </w:t>
      </w:r>
      <w:r w:rsidRPr="0049001B">
        <w:rPr>
          <w:rFonts w:asciiTheme="minorHAnsi" w:eastAsia="Times New Roman" w:hAnsiTheme="minorHAnsi" w:cs="Tahoma"/>
        </w:rPr>
        <w:t>(</w:t>
      </w:r>
      <w:r w:rsidR="00B64E74">
        <w:rPr>
          <w:rFonts w:asciiTheme="minorHAnsi" w:eastAsia="Times New Roman" w:hAnsiTheme="minorHAnsi" w:cs="Tahoma"/>
        </w:rPr>
        <w:t>-</w:t>
      </w:r>
      <w:r w:rsidR="00CF2D64">
        <w:rPr>
          <w:rFonts w:asciiTheme="minorHAnsi" w:eastAsia="Times New Roman" w:hAnsiTheme="minorHAnsi" w:cs="Tahoma"/>
        </w:rPr>
        <w:t>1</w:t>
      </w:r>
      <w:r w:rsidR="00AB723C">
        <w:rPr>
          <w:rFonts w:asciiTheme="minorHAnsi" w:eastAsia="Times New Roman" w:hAnsiTheme="minorHAnsi" w:cs="Tahoma"/>
        </w:rPr>
        <w:t>1</w:t>
      </w:r>
      <w:r w:rsidR="00CF2D64">
        <w:rPr>
          <w:rFonts w:asciiTheme="minorHAnsi" w:eastAsia="Times New Roman" w:hAnsiTheme="minorHAnsi" w:cs="Tahoma"/>
        </w:rPr>
        <w:t>,</w:t>
      </w:r>
      <w:r w:rsidR="00AB723C">
        <w:rPr>
          <w:rFonts w:asciiTheme="minorHAnsi" w:eastAsia="Times New Roman" w:hAnsiTheme="minorHAnsi" w:cs="Tahoma"/>
        </w:rPr>
        <w:t>8</w:t>
      </w:r>
      <w:r w:rsidRPr="0049001B">
        <w:rPr>
          <w:rFonts w:asciiTheme="minorHAnsi" w:eastAsia="Times New Roman" w:hAnsiTheme="minorHAnsi" w:cs="Tahoma"/>
        </w:rPr>
        <w:t xml:space="preserve">% il sole e </w:t>
      </w:r>
      <w:r w:rsidR="00B64E74">
        <w:rPr>
          <w:rFonts w:asciiTheme="minorHAnsi" w:eastAsia="Times New Roman" w:hAnsiTheme="minorHAnsi" w:cs="Tahoma"/>
        </w:rPr>
        <w:t>-</w:t>
      </w:r>
      <w:r w:rsidR="00AB723C">
        <w:rPr>
          <w:rFonts w:asciiTheme="minorHAnsi" w:eastAsia="Times New Roman" w:hAnsiTheme="minorHAnsi" w:cs="Tahoma"/>
        </w:rPr>
        <w:t>54,8</w:t>
      </w:r>
      <w:r w:rsidRPr="0049001B">
        <w:rPr>
          <w:rFonts w:asciiTheme="minorHAnsi" w:eastAsia="Times New Roman" w:hAnsiTheme="minorHAnsi" w:cs="Tahoma"/>
        </w:rPr>
        <w:t xml:space="preserve">% le montature) </w:t>
      </w:r>
    </w:p>
    <w:p w:rsidR="004D6E32" w:rsidRDefault="004D6E32" w:rsidP="004D6E32">
      <w:pPr>
        <w:pStyle w:val="Paragrafoelenco"/>
        <w:numPr>
          <w:ilvl w:val="0"/>
          <w:numId w:val="7"/>
        </w:numPr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b/>
          <w:sz w:val="24"/>
        </w:rPr>
        <w:t>Israele</w:t>
      </w:r>
      <w:r w:rsidRPr="00C56871">
        <w:rPr>
          <w:rFonts w:asciiTheme="minorHAnsi" w:hAnsiTheme="minorHAnsi" w:cs="Tahoma"/>
          <w:b/>
          <w:sz w:val="24"/>
        </w:rPr>
        <w:t xml:space="preserve"> </w:t>
      </w:r>
      <w:r>
        <w:rPr>
          <w:rFonts w:asciiTheme="minorHAnsi" w:hAnsiTheme="minorHAnsi" w:cs="Tahoma"/>
          <w:b/>
          <w:sz w:val="24"/>
        </w:rPr>
        <w:t>-2,5</w:t>
      </w:r>
      <w:r w:rsidRPr="008A56E3">
        <w:rPr>
          <w:rFonts w:asciiTheme="minorHAnsi" w:hAnsiTheme="minorHAnsi" w:cs="Tahoma"/>
          <w:sz w:val="24"/>
        </w:rPr>
        <w:t>%</w:t>
      </w:r>
      <w:r w:rsidRPr="00C56871">
        <w:rPr>
          <w:rFonts w:asciiTheme="minorHAnsi" w:hAnsiTheme="minorHAnsi" w:cs="Tahoma"/>
          <w:sz w:val="24"/>
        </w:rPr>
        <w:t xml:space="preserve"> (</w:t>
      </w:r>
      <w:r w:rsidR="00AB723C">
        <w:rPr>
          <w:rFonts w:asciiTheme="minorHAnsi" w:hAnsiTheme="minorHAnsi" w:cs="Tahoma"/>
          <w:sz w:val="24"/>
        </w:rPr>
        <w:t>-9,9</w:t>
      </w:r>
      <w:r w:rsidRPr="00C56871">
        <w:rPr>
          <w:rFonts w:asciiTheme="minorHAnsi" w:hAnsiTheme="minorHAnsi" w:cs="Tahoma"/>
          <w:sz w:val="24"/>
        </w:rPr>
        <w:t xml:space="preserve">% il sole e </w:t>
      </w:r>
      <w:r w:rsidR="00AB723C">
        <w:rPr>
          <w:rFonts w:asciiTheme="minorHAnsi" w:hAnsiTheme="minorHAnsi" w:cs="Tahoma"/>
          <w:sz w:val="24"/>
        </w:rPr>
        <w:t>+35,3</w:t>
      </w:r>
      <w:r w:rsidRPr="00C56871">
        <w:rPr>
          <w:rFonts w:asciiTheme="minorHAnsi" w:hAnsiTheme="minorHAnsi" w:cs="Tahoma"/>
          <w:sz w:val="24"/>
        </w:rPr>
        <w:t>% le montature)</w:t>
      </w:r>
    </w:p>
    <w:p w:rsidR="004D6E32" w:rsidRDefault="004D6E32" w:rsidP="004D6E32">
      <w:pPr>
        <w:pStyle w:val="Paragrafoelenco"/>
        <w:numPr>
          <w:ilvl w:val="0"/>
          <w:numId w:val="7"/>
        </w:numPr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b/>
          <w:sz w:val="24"/>
        </w:rPr>
        <w:t>Russia</w:t>
      </w:r>
      <w:r w:rsidRPr="00C56871">
        <w:rPr>
          <w:rFonts w:asciiTheme="minorHAnsi" w:hAnsiTheme="minorHAnsi" w:cs="Tahoma"/>
          <w:b/>
          <w:sz w:val="24"/>
        </w:rPr>
        <w:t xml:space="preserve"> </w:t>
      </w:r>
      <w:r>
        <w:rPr>
          <w:rFonts w:asciiTheme="minorHAnsi" w:hAnsiTheme="minorHAnsi" w:cs="Tahoma"/>
          <w:b/>
          <w:sz w:val="24"/>
        </w:rPr>
        <w:t>+23,1</w:t>
      </w:r>
      <w:r w:rsidRPr="008A56E3">
        <w:rPr>
          <w:rFonts w:asciiTheme="minorHAnsi" w:hAnsiTheme="minorHAnsi" w:cs="Tahoma"/>
          <w:sz w:val="24"/>
        </w:rPr>
        <w:t>%</w:t>
      </w:r>
      <w:r w:rsidRPr="00C56871">
        <w:rPr>
          <w:rFonts w:asciiTheme="minorHAnsi" w:hAnsiTheme="minorHAnsi" w:cs="Tahoma"/>
          <w:sz w:val="24"/>
        </w:rPr>
        <w:t xml:space="preserve"> (</w:t>
      </w:r>
      <w:r>
        <w:rPr>
          <w:rFonts w:asciiTheme="minorHAnsi" w:hAnsiTheme="minorHAnsi" w:cs="Tahoma"/>
          <w:sz w:val="24"/>
        </w:rPr>
        <w:t>+</w:t>
      </w:r>
      <w:r w:rsidR="00AB723C">
        <w:rPr>
          <w:rFonts w:asciiTheme="minorHAnsi" w:hAnsiTheme="minorHAnsi" w:cs="Tahoma"/>
          <w:sz w:val="24"/>
        </w:rPr>
        <w:t>16</w:t>
      </w:r>
      <w:r>
        <w:rPr>
          <w:rFonts w:asciiTheme="minorHAnsi" w:hAnsiTheme="minorHAnsi" w:cs="Tahoma"/>
          <w:sz w:val="24"/>
        </w:rPr>
        <w:t>,</w:t>
      </w:r>
      <w:r w:rsidR="00AB723C">
        <w:rPr>
          <w:rFonts w:asciiTheme="minorHAnsi" w:hAnsiTheme="minorHAnsi" w:cs="Tahoma"/>
          <w:sz w:val="24"/>
        </w:rPr>
        <w:t>8</w:t>
      </w:r>
      <w:r w:rsidRPr="00C56871">
        <w:rPr>
          <w:rFonts w:asciiTheme="minorHAnsi" w:hAnsiTheme="minorHAnsi" w:cs="Tahoma"/>
          <w:sz w:val="24"/>
        </w:rPr>
        <w:t xml:space="preserve">% il sole e </w:t>
      </w:r>
      <w:r w:rsidR="00AB723C">
        <w:rPr>
          <w:rFonts w:asciiTheme="minorHAnsi" w:hAnsiTheme="minorHAnsi" w:cs="Tahoma"/>
          <w:sz w:val="24"/>
        </w:rPr>
        <w:t>+33,2%</w:t>
      </w:r>
      <w:r w:rsidRPr="00C56871">
        <w:rPr>
          <w:rFonts w:asciiTheme="minorHAnsi" w:hAnsiTheme="minorHAnsi" w:cs="Tahoma"/>
          <w:sz w:val="24"/>
        </w:rPr>
        <w:t xml:space="preserve"> le montature)</w:t>
      </w:r>
    </w:p>
    <w:p w:rsidR="004D6E32" w:rsidRPr="00C56871" w:rsidRDefault="004D6E32" w:rsidP="004D6E32">
      <w:pPr>
        <w:pStyle w:val="Paragrafoelenco"/>
        <w:numPr>
          <w:ilvl w:val="0"/>
          <w:numId w:val="7"/>
        </w:numPr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b/>
          <w:sz w:val="24"/>
        </w:rPr>
        <w:t>Arabia Saudita</w:t>
      </w:r>
      <w:r w:rsidRPr="00C56871">
        <w:rPr>
          <w:rFonts w:asciiTheme="minorHAnsi" w:hAnsiTheme="minorHAnsi" w:cs="Tahoma"/>
          <w:b/>
          <w:sz w:val="24"/>
        </w:rPr>
        <w:t xml:space="preserve"> </w:t>
      </w:r>
      <w:r w:rsidRPr="0026026A">
        <w:rPr>
          <w:rFonts w:asciiTheme="minorHAnsi" w:hAnsiTheme="minorHAnsi" w:cs="Tahoma"/>
          <w:sz w:val="24"/>
        </w:rPr>
        <w:t>+</w:t>
      </w:r>
      <w:r>
        <w:rPr>
          <w:rFonts w:asciiTheme="minorHAnsi" w:hAnsiTheme="minorHAnsi" w:cs="Tahoma"/>
          <w:b/>
          <w:sz w:val="24"/>
        </w:rPr>
        <w:t>0</w:t>
      </w:r>
      <w:r w:rsidRPr="00C56871">
        <w:rPr>
          <w:rFonts w:asciiTheme="minorHAnsi" w:hAnsiTheme="minorHAnsi" w:cs="Tahoma"/>
          <w:b/>
          <w:sz w:val="24"/>
        </w:rPr>
        <w:t>,</w:t>
      </w:r>
      <w:r>
        <w:rPr>
          <w:rFonts w:asciiTheme="minorHAnsi" w:hAnsiTheme="minorHAnsi" w:cs="Tahoma"/>
          <w:b/>
          <w:sz w:val="24"/>
        </w:rPr>
        <w:t>7</w:t>
      </w:r>
      <w:r w:rsidRPr="008A56E3">
        <w:rPr>
          <w:rFonts w:asciiTheme="minorHAnsi" w:hAnsiTheme="minorHAnsi" w:cs="Tahoma"/>
          <w:sz w:val="24"/>
        </w:rPr>
        <w:t>%</w:t>
      </w:r>
      <w:r w:rsidRPr="00C56871">
        <w:rPr>
          <w:rFonts w:asciiTheme="minorHAnsi" w:hAnsiTheme="minorHAnsi" w:cs="Tahoma"/>
          <w:sz w:val="24"/>
        </w:rPr>
        <w:t xml:space="preserve"> (</w:t>
      </w:r>
      <w:r w:rsidR="00AB723C">
        <w:rPr>
          <w:rFonts w:asciiTheme="minorHAnsi" w:hAnsiTheme="minorHAnsi" w:cs="Tahoma"/>
          <w:sz w:val="24"/>
        </w:rPr>
        <w:t>-</w:t>
      </w:r>
      <w:r>
        <w:rPr>
          <w:rFonts w:asciiTheme="minorHAnsi" w:hAnsiTheme="minorHAnsi" w:cs="Tahoma"/>
          <w:sz w:val="24"/>
        </w:rPr>
        <w:t>1</w:t>
      </w:r>
      <w:r w:rsidR="00AB723C">
        <w:rPr>
          <w:rFonts w:asciiTheme="minorHAnsi" w:hAnsiTheme="minorHAnsi" w:cs="Tahoma"/>
          <w:sz w:val="24"/>
        </w:rPr>
        <w:t>5</w:t>
      </w:r>
      <w:r>
        <w:rPr>
          <w:rFonts w:asciiTheme="minorHAnsi" w:hAnsiTheme="minorHAnsi" w:cs="Tahoma"/>
          <w:sz w:val="24"/>
        </w:rPr>
        <w:t>,</w:t>
      </w:r>
      <w:r w:rsidR="00AB723C">
        <w:rPr>
          <w:rFonts w:asciiTheme="minorHAnsi" w:hAnsiTheme="minorHAnsi" w:cs="Tahoma"/>
          <w:sz w:val="24"/>
        </w:rPr>
        <w:t>1</w:t>
      </w:r>
      <w:r w:rsidRPr="00C56871">
        <w:rPr>
          <w:rFonts w:asciiTheme="minorHAnsi" w:hAnsiTheme="minorHAnsi" w:cs="Tahoma"/>
          <w:sz w:val="24"/>
        </w:rPr>
        <w:t xml:space="preserve">% il sole e </w:t>
      </w:r>
      <w:r>
        <w:rPr>
          <w:rFonts w:asciiTheme="minorHAnsi" w:hAnsiTheme="minorHAnsi" w:cs="Tahoma"/>
          <w:sz w:val="24"/>
        </w:rPr>
        <w:t>-</w:t>
      </w:r>
      <w:r w:rsidR="00AB723C">
        <w:rPr>
          <w:rFonts w:asciiTheme="minorHAnsi" w:hAnsiTheme="minorHAnsi" w:cs="Tahoma"/>
          <w:sz w:val="24"/>
        </w:rPr>
        <w:t>30,2</w:t>
      </w:r>
      <w:r w:rsidRPr="00C56871">
        <w:rPr>
          <w:rFonts w:asciiTheme="minorHAnsi" w:hAnsiTheme="minorHAnsi" w:cs="Tahoma"/>
          <w:sz w:val="24"/>
        </w:rPr>
        <w:t>% le montature)</w:t>
      </w:r>
    </w:p>
    <w:p w:rsidR="0026026A" w:rsidRDefault="0026026A" w:rsidP="0026026A">
      <w:pPr>
        <w:pStyle w:val="Paragrafoelenco"/>
        <w:numPr>
          <w:ilvl w:val="0"/>
          <w:numId w:val="7"/>
        </w:numPr>
        <w:rPr>
          <w:rFonts w:asciiTheme="minorHAnsi" w:hAnsiTheme="minorHAnsi" w:cs="Tahoma"/>
          <w:sz w:val="24"/>
        </w:rPr>
      </w:pPr>
      <w:r w:rsidRPr="00C56871">
        <w:rPr>
          <w:rFonts w:asciiTheme="minorHAnsi" w:hAnsiTheme="minorHAnsi" w:cs="Tahoma"/>
          <w:b/>
          <w:sz w:val="24"/>
        </w:rPr>
        <w:t xml:space="preserve">Giappone </w:t>
      </w:r>
      <w:r w:rsidR="00B64E74" w:rsidRPr="00B64E74">
        <w:rPr>
          <w:rFonts w:asciiTheme="minorHAnsi" w:hAnsiTheme="minorHAnsi" w:cs="Tahoma"/>
          <w:sz w:val="24"/>
        </w:rPr>
        <w:t>-</w:t>
      </w:r>
      <w:r w:rsidR="00CF2D64">
        <w:rPr>
          <w:rFonts w:asciiTheme="minorHAnsi" w:hAnsiTheme="minorHAnsi" w:cs="Tahoma"/>
          <w:b/>
          <w:sz w:val="24"/>
        </w:rPr>
        <w:t>0</w:t>
      </w:r>
      <w:r w:rsidRPr="00C56871">
        <w:rPr>
          <w:rFonts w:asciiTheme="minorHAnsi" w:hAnsiTheme="minorHAnsi" w:cs="Tahoma"/>
          <w:b/>
          <w:sz w:val="24"/>
        </w:rPr>
        <w:t>,</w:t>
      </w:r>
      <w:r w:rsidR="00B64E74">
        <w:rPr>
          <w:rFonts w:asciiTheme="minorHAnsi" w:hAnsiTheme="minorHAnsi" w:cs="Tahoma"/>
          <w:b/>
          <w:sz w:val="24"/>
        </w:rPr>
        <w:t>3</w:t>
      </w:r>
      <w:r w:rsidRPr="008A56E3">
        <w:rPr>
          <w:rFonts w:asciiTheme="minorHAnsi" w:hAnsiTheme="minorHAnsi" w:cs="Tahoma"/>
          <w:sz w:val="24"/>
        </w:rPr>
        <w:t>%</w:t>
      </w:r>
      <w:r w:rsidRPr="00C56871">
        <w:rPr>
          <w:rFonts w:asciiTheme="minorHAnsi" w:hAnsiTheme="minorHAnsi" w:cs="Tahoma"/>
          <w:sz w:val="24"/>
        </w:rPr>
        <w:t xml:space="preserve"> (</w:t>
      </w:r>
      <w:r w:rsidR="00AB723C">
        <w:rPr>
          <w:rFonts w:asciiTheme="minorHAnsi" w:hAnsiTheme="minorHAnsi" w:cs="Tahoma"/>
          <w:sz w:val="24"/>
        </w:rPr>
        <w:t>-62</w:t>
      </w:r>
      <w:r w:rsidR="00B64E74">
        <w:rPr>
          <w:rFonts w:asciiTheme="minorHAnsi" w:hAnsiTheme="minorHAnsi" w:cs="Tahoma"/>
          <w:sz w:val="24"/>
        </w:rPr>
        <w:t>,</w:t>
      </w:r>
      <w:r w:rsidR="00AB723C">
        <w:rPr>
          <w:rFonts w:asciiTheme="minorHAnsi" w:hAnsiTheme="minorHAnsi" w:cs="Tahoma"/>
          <w:sz w:val="24"/>
        </w:rPr>
        <w:t>1</w:t>
      </w:r>
      <w:r w:rsidRPr="00C56871">
        <w:rPr>
          <w:rFonts w:asciiTheme="minorHAnsi" w:hAnsiTheme="minorHAnsi" w:cs="Tahoma"/>
          <w:sz w:val="24"/>
        </w:rPr>
        <w:t xml:space="preserve">% il sole e </w:t>
      </w:r>
      <w:r w:rsidR="00B64E74">
        <w:rPr>
          <w:rFonts w:asciiTheme="minorHAnsi" w:hAnsiTheme="minorHAnsi" w:cs="Tahoma"/>
          <w:sz w:val="24"/>
        </w:rPr>
        <w:t>-</w:t>
      </w:r>
      <w:r w:rsidR="00AB723C">
        <w:rPr>
          <w:rFonts w:asciiTheme="minorHAnsi" w:hAnsiTheme="minorHAnsi" w:cs="Tahoma"/>
          <w:sz w:val="24"/>
        </w:rPr>
        <w:t>33,8</w:t>
      </w:r>
      <w:r w:rsidRPr="00C56871">
        <w:rPr>
          <w:rFonts w:asciiTheme="minorHAnsi" w:hAnsiTheme="minorHAnsi" w:cs="Tahoma"/>
          <w:sz w:val="24"/>
        </w:rPr>
        <w:t>% le montature)</w:t>
      </w:r>
    </w:p>
    <w:p w:rsidR="005F42ED" w:rsidRDefault="00B64E74" w:rsidP="005F42ED">
      <w:pPr>
        <w:pStyle w:val="xl23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/>
        </w:rPr>
        <w:t>India</w:t>
      </w:r>
      <w:r w:rsidR="0026026A" w:rsidRPr="00C56871">
        <w:rPr>
          <w:rFonts w:asciiTheme="minorHAnsi" w:eastAsia="Times New Roman" w:hAnsiTheme="minorHAnsi" w:cs="Tahoma"/>
          <w:b/>
        </w:rPr>
        <w:t xml:space="preserve"> </w:t>
      </w:r>
      <w:r w:rsidRPr="00B64E74">
        <w:rPr>
          <w:rFonts w:asciiTheme="minorHAnsi" w:eastAsia="Times New Roman" w:hAnsiTheme="minorHAnsi" w:cs="Tahoma"/>
        </w:rPr>
        <w:t>-</w:t>
      </w:r>
      <w:r w:rsidR="004D6E32" w:rsidRPr="00AB723C">
        <w:rPr>
          <w:rFonts w:asciiTheme="minorHAnsi" w:eastAsia="Times New Roman" w:hAnsiTheme="minorHAnsi" w:cs="Tahoma"/>
          <w:b/>
        </w:rPr>
        <w:t>5</w:t>
      </w:r>
      <w:r w:rsidR="002B769B">
        <w:rPr>
          <w:rFonts w:asciiTheme="minorHAnsi" w:eastAsia="Times New Roman" w:hAnsiTheme="minorHAnsi" w:cs="Tahoma"/>
          <w:b/>
        </w:rPr>
        <w:t>,</w:t>
      </w:r>
      <w:r>
        <w:rPr>
          <w:rFonts w:asciiTheme="minorHAnsi" w:eastAsia="Times New Roman" w:hAnsiTheme="minorHAnsi" w:cs="Tahoma"/>
          <w:b/>
        </w:rPr>
        <w:t>7</w:t>
      </w:r>
      <w:r w:rsidR="0026026A" w:rsidRPr="008A56E3">
        <w:rPr>
          <w:rFonts w:asciiTheme="minorHAnsi" w:eastAsia="Times New Roman" w:hAnsiTheme="minorHAnsi" w:cs="Tahoma"/>
        </w:rPr>
        <w:t>%</w:t>
      </w:r>
      <w:r w:rsidR="0026026A">
        <w:rPr>
          <w:rFonts w:asciiTheme="minorHAnsi" w:eastAsia="Times New Roman" w:hAnsiTheme="minorHAnsi" w:cs="Tahoma"/>
        </w:rPr>
        <w:t xml:space="preserve"> </w:t>
      </w:r>
      <w:r w:rsidR="0026026A" w:rsidRPr="0049001B">
        <w:rPr>
          <w:rFonts w:asciiTheme="minorHAnsi" w:eastAsia="Times New Roman" w:hAnsiTheme="minorHAnsi" w:cs="Tahoma"/>
        </w:rPr>
        <w:t>(</w:t>
      </w:r>
      <w:r>
        <w:rPr>
          <w:rFonts w:asciiTheme="minorHAnsi" w:eastAsia="Times New Roman" w:hAnsiTheme="minorHAnsi" w:cs="Tahoma"/>
        </w:rPr>
        <w:t>-9,</w:t>
      </w:r>
      <w:r w:rsidR="002B769B">
        <w:rPr>
          <w:rFonts w:asciiTheme="minorHAnsi" w:eastAsia="Times New Roman" w:hAnsiTheme="minorHAnsi" w:cs="Tahoma"/>
        </w:rPr>
        <w:t>6</w:t>
      </w:r>
      <w:r w:rsidR="0026026A" w:rsidRPr="0049001B">
        <w:rPr>
          <w:rFonts w:asciiTheme="minorHAnsi" w:eastAsia="Times New Roman" w:hAnsiTheme="minorHAnsi" w:cs="Tahoma"/>
        </w:rPr>
        <w:t>% il sole e</w:t>
      </w:r>
      <w:r w:rsidR="00AB723C">
        <w:rPr>
          <w:rFonts w:asciiTheme="minorHAnsi" w:eastAsia="Times New Roman" w:hAnsiTheme="minorHAnsi" w:cs="Tahoma"/>
        </w:rPr>
        <w:t xml:space="preserve"> +5,3</w:t>
      </w:r>
      <w:r w:rsidR="00D739C7">
        <w:rPr>
          <w:rFonts w:asciiTheme="minorHAnsi" w:eastAsia="Times New Roman" w:hAnsiTheme="minorHAnsi" w:cs="Tahoma"/>
        </w:rPr>
        <w:t>% le montature)</w:t>
      </w:r>
      <w:r w:rsidR="005F42ED">
        <w:rPr>
          <w:rFonts w:asciiTheme="minorHAnsi" w:eastAsia="Times New Roman" w:hAnsiTheme="minorHAnsi" w:cs="Tahoma"/>
        </w:rPr>
        <w:t>.</w:t>
      </w:r>
    </w:p>
    <w:p w:rsidR="00D739C7" w:rsidRDefault="005F42ED" w:rsidP="005F42ED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27"/>
        <w:jc w:val="both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</w:rPr>
        <w:t xml:space="preserve"> </w:t>
      </w:r>
    </w:p>
    <w:p w:rsidR="002F7F0B" w:rsidRDefault="002F7F0B" w:rsidP="00745F34">
      <w:pPr>
        <w:jc w:val="both"/>
        <w:rPr>
          <w:rFonts w:asciiTheme="minorHAnsi" w:hAnsiTheme="minorHAnsi" w:cs="Tahoma"/>
          <w:b/>
          <w:sz w:val="24"/>
        </w:rPr>
      </w:pPr>
    </w:p>
    <w:p w:rsidR="00745F34" w:rsidRPr="005464E5" w:rsidRDefault="00745F34" w:rsidP="00745F34">
      <w:pPr>
        <w:jc w:val="both"/>
        <w:rPr>
          <w:rFonts w:asciiTheme="minorHAnsi" w:hAnsiTheme="minorHAnsi" w:cs="Tahoma"/>
          <w:b/>
          <w:sz w:val="24"/>
        </w:rPr>
      </w:pPr>
      <w:r w:rsidRPr="005464E5">
        <w:rPr>
          <w:rFonts w:asciiTheme="minorHAnsi" w:hAnsiTheme="minorHAnsi" w:cs="Tahoma"/>
          <w:b/>
          <w:sz w:val="24"/>
        </w:rPr>
        <w:t>LE QUOTE DI MERCATO DELLE ESPORTAZIONI ITALIANE</w:t>
      </w:r>
    </w:p>
    <w:p w:rsidR="00745F34" w:rsidRPr="005464E5" w:rsidRDefault="00745F34" w:rsidP="00745F34">
      <w:pPr>
        <w:jc w:val="both"/>
        <w:rPr>
          <w:rFonts w:asciiTheme="minorHAnsi" w:hAnsiTheme="minorHAnsi" w:cs="Tahoma"/>
          <w:sz w:val="24"/>
        </w:rPr>
      </w:pPr>
    </w:p>
    <w:p w:rsidR="00745F34" w:rsidRPr="005464E5" w:rsidRDefault="00D33BF1" w:rsidP="00745F34">
      <w:pPr>
        <w:jc w:val="both"/>
        <w:rPr>
          <w:rFonts w:asciiTheme="minorHAnsi" w:hAnsiTheme="minorHAnsi" w:cs="Tahoma"/>
          <w:sz w:val="24"/>
        </w:rPr>
      </w:pPr>
      <w:r w:rsidRPr="005464E5">
        <w:rPr>
          <w:rFonts w:asciiTheme="minorHAnsi" w:hAnsiTheme="minorHAnsi" w:cs="Tahoma"/>
          <w:sz w:val="24"/>
        </w:rPr>
        <w:t xml:space="preserve">Considerando le </w:t>
      </w:r>
      <w:r w:rsidRPr="005464E5">
        <w:rPr>
          <w:rFonts w:asciiTheme="minorHAnsi" w:hAnsiTheme="minorHAnsi" w:cs="Tahoma"/>
          <w:b/>
          <w:sz w:val="24"/>
        </w:rPr>
        <w:t xml:space="preserve">esportazioni mondiali </w:t>
      </w:r>
      <w:r w:rsidR="00745F34" w:rsidRPr="005464E5">
        <w:rPr>
          <w:rFonts w:asciiTheme="minorHAnsi" w:hAnsiTheme="minorHAnsi" w:cs="Tahoma"/>
          <w:b/>
          <w:sz w:val="24"/>
        </w:rPr>
        <w:t>di occhiali da sole e montature</w:t>
      </w:r>
      <w:r w:rsidRPr="005464E5">
        <w:rPr>
          <w:rFonts w:asciiTheme="minorHAnsi" w:hAnsiTheme="minorHAnsi" w:cs="Tahoma"/>
          <w:sz w:val="24"/>
        </w:rPr>
        <w:t>, che nel 201</w:t>
      </w:r>
      <w:r w:rsidR="002F7F0B" w:rsidRPr="005464E5">
        <w:rPr>
          <w:rFonts w:asciiTheme="minorHAnsi" w:hAnsiTheme="minorHAnsi" w:cs="Tahoma"/>
          <w:sz w:val="24"/>
        </w:rPr>
        <w:t>7</w:t>
      </w:r>
      <w:r w:rsidRPr="005464E5">
        <w:rPr>
          <w:rFonts w:asciiTheme="minorHAnsi" w:hAnsiTheme="minorHAnsi" w:cs="Tahoma"/>
          <w:sz w:val="24"/>
        </w:rPr>
        <w:t xml:space="preserve"> </w:t>
      </w:r>
      <w:r w:rsidR="00870CCB" w:rsidRPr="005464E5">
        <w:rPr>
          <w:rFonts w:asciiTheme="minorHAnsi" w:hAnsiTheme="minorHAnsi" w:cs="Tahoma"/>
          <w:sz w:val="24"/>
        </w:rPr>
        <w:t>possono essere stimate</w:t>
      </w:r>
      <w:r w:rsidR="00A60A9B" w:rsidRPr="005464E5">
        <w:rPr>
          <w:rFonts w:asciiTheme="minorHAnsi" w:hAnsiTheme="minorHAnsi" w:cs="Tahoma"/>
          <w:sz w:val="24"/>
        </w:rPr>
        <w:t>, sulla base dei dati ad ogg</w:t>
      </w:r>
      <w:r w:rsidR="00B22732" w:rsidRPr="005464E5">
        <w:rPr>
          <w:rFonts w:asciiTheme="minorHAnsi" w:hAnsiTheme="minorHAnsi" w:cs="Tahoma"/>
          <w:sz w:val="24"/>
        </w:rPr>
        <w:t>i</w:t>
      </w:r>
      <w:r w:rsidR="00A60A9B" w:rsidRPr="005464E5">
        <w:rPr>
          <w:rFonts w:asciiTheme="minorHAnsi" w:hAnsiTheme="minorHAnsi" w:cs="Tahoma"/>
          <w:sz w:val="24"/>
        </w:rPr>
        <w:t xml:space="preserve"> disponibili,</w:t>
      </w:r>
      <w:r w:rsidR="00870CCB" w:rsidRPr="005464E5">
        <w:rPr>
          <w:rFonts w:asciiTheme="minorHAnsi" w:hAnsiTheme="minorHAnsi" w:cs="Tahoma"/>
          <w:sz w:val="24"/>
        </w:rPr>
        <w:t xml:space="preserve"> </w:t>
      </w:r>
      <w:r w:rsidRPr="005464E5">
        <w:rPr>
          <w:rFonts w:asciiTheme="minorHAnsi" w:hAnsiTheme="minorHAnsi" w:cs="Tahoma"/>
          <w:sz w:val="24"/>
        </w:rPr>
        <w:t xml:space="preserve">intorno ai </w:t>
      </w:r>
      <w:r w:rsidR="001076BB" w:rsidRPr="005464E5">
        <w:rPr>
          <w:rFonts w:asciiTheme="minorHAnsi" w:hAnsiTheme="minorHAnsi" w:cs="Tahoma"/>
          <w:b/>
          <w:sz w:val="24"/>
        </w:rPr>
        <w:t>1</w:t>
      </w:r>
      <w:r w:rsidR="002F7F0B" w:rsidRPr="005464E5">
        <w:rPr>
          <w:rFonts w:asciiTheme="minorHAnsi" w:hAnsiTheme="minorHAnsi" w:cs="Tahoma"/>
          <w:b/>
          <w:sz w:val="24"/>
        </w:rPr>
        <w:t>8</w:t>
      </w:r>
      <w:r w:rsidR="00745F34" w:rsidRPr="005464E5">
        <w:rPr>
          <w:rFonts w:asciiTheme="minorHAnsi" w:hAnsiTheme="minorHAnsi" w:cs="Tahoma"/>
          <w:b/>
          <w:sz w:val="24"/>
        </w:rPr>
        <w:t xml:space="preserve"> mili</w:t>
      </w:r>
      <w:r w:rsidR="003D0817" w:rsidRPr="005464E5">
        <w:rPr>
          <w:rFonts w:asciiTheme="minorHAnsi" w:hAnsiTheme="minorHAnsi" w:cs="Tahoma"/>
          <w:b/>
          <w:sz w:val="24"/>
        </w:rPr>
        <w:t>ardi</w:t>
      </w:r>
      <w:r w:rsidR="00745F34" w:rsidRPr="005464E5">
        <w:rPr>
          <w:rFonts w:asciiTheme="minorHAnsi" w:hAnsiTheme="minorHAnsi" w:cs="Tahoma"/>
          <w:b/>
          <w:sz w:val="24"/>
        </w:rPr>
        <w:t xml:space="preserve"> di euro</w:t>
      </w:r>
      <w:r w:rsidR="00A60A9B" w:rsidRPr="005464E5">
        <w:rPr>
          <w:rFonts w:asciiTheme="minorHAnsi" w:hAnsiTheme="minorHAnsi" w:cs="Tahoma"/>
          <w:sz w:val="24"/>
        </w:rPr>
        <w:t xml:space="preserve"> (+</w:t>
      </w:r>
      <w:r w:rsidR="00B22732" w:rsidRPr="005464E5">
        <w:rPr>
          <w:rFonts w:asciiTheme="minorHAnsi" w:hAnsiTheme="minorHAnsi" w:cs="Tahoma"/>
          <w:sz w:val="24"/>
        </w:rPr>
        <w:t>3</w:t>
      </w:r>
      <w:r w:rsidR="00A60A9B" w:rsidRPr="005464E5">
        <w:rPr>
          <w:rFonts w:asciiTheme="minorHAnsi" w:hAnsiTheme="minorHAnsi" w:cs="Tahoma"/>
          <w:sz w:val="24"/>
        </w:rPr>
        <w:t>,</w:t>
      </w:r>
      <w:r w:rsidR="003D0817" w:rsidRPr="005464E5">
        <w:rPr>
          <w:rFonts w:asciiTheme="minorHAnsi" w:hAnsiTheme="minorHAnsi" w:cs="Tahoma"/>
          <w:sz w:val="24"/>
        </w:rPr>
        <w:t>7</w:t>
      </w:r>
      <w:r w:rsidR="00A60A9B" w:rsidRPr="005464E5">
        <w:rPr>
          <w:rFonts w:asciiTheme="minorHAnsi" w:hAnsiTheme="minorHAnsi" w:cs="Tahoma"/>
          <w:sz w:val="24"/>
        </w:rPr>
        <w:t>% rispetto al 201</w:t>
      </w:r>
      <w:r w:rsidR="00B22732" w:rsidRPr="005464E5">
        <w:rPr>
          <w:rFonts w:asciiTheme="minorHAnsi" w:hAnsiTheme="minorHAnsi" w:cs="Tahoma"/>
          <w:sz w:val="24"/>
        </w:rPr>
        <w:t>6</w:t>
      </w:r>
      <w:r w:rsidR="00A60A9B" w:rsidRPr="005464E5">
        <w:rPr>
          <w:rFonts w:asciiTheme="minorHAnsi" w:hAnsiTheme="minorHAnsi" w:cs="Tahoma"/>
          <w:sz w:val="24"/>
        </w:rPr>
        <w:t>)</w:t>
      </w:r>
      <w:r w:rsidRPr="005464E5">
        <w:rPr>
          <w:rFonts w:asciiTheme="minorHAnsi" w:hAnsiTheme="minorHAnsi" w:cs="Tahoma"/>
          <w:sz w:val="24"/>
        </w:rPr>
        <w:t xml:space="preserve">, la </w:t>
      </w:r>
      <w:r w:rsidRPr="005464E5">
        <w:rPr>
          <w:rFonts w:asciiTheme="minorHAnsi" w:hAnsiTheme="minorHAnsi" w:cs="Tahoma"/>
          <w:b/>
          <w:sz w:val="24"/>
        </w:rPr>
        <w:t>quota di mercato in valore riferibile all</w:t>
      </w:r>
      <w:r w:rsidR="00745F34" w:rsidRPr="005464E5">
        <w:rPr>
          <w:rFonts w:asciiTheme="minorHAnsi" w:hAnsiTheme="minorHAnsi" w:cs="Tahoma"/>
          <w:b/>
          <w:sz w:val="24"/>
        </w:rPr>
        <w:t>’Italia</w:t>
      </w:r>
      <w:r w:rsidR="00745F34" w:rsidRPr="005464E5">
        <w:rPr>
          <w:rFonts w:asciiTheme="minorHAnsi" w:hAnsiTheme="minorHAnsi" w:cs="Tahoma"/>
          <w:sz w:val="24"/>
        </w:rPr>
        <w:t xml:space="preserve"> </w:t>
      </w:r>
      <w:r w:rsidRPr="005464E5">
        <w:rPr>
          <w:rFonts w:asciiTheme="minorHAnsi" w:hAnsiTheme="minorHAnsi" w:cs="Tahoma"/>
          <w:sz w:val="24"/>
        </w:rPr>
        <w:t xml:space="preserve">è </w:t>
      </w:r>
      <w:r w:rsidR="00A60A9B" w:rsidRPr="005464E5">
        <w:rPr>
          <w:rFonts w:asciiTheme="minorHAnsi" w:hAnsiTheme="minorHAnsi" w:cs="Tahoma"/>
          <w:b/>
          <w:sz w:val="24"/>
        </w:rPr>
        <w:t>del</w:t>
      </w:r>
      <w:r w:rsidRPr="005464E5">
        <w:rPr>
          <w:rFonts w:asciiTheme="minorHAnsi" w:hAnsiTheme="minorHAnsi" w:cs="Tahoma"/>
          <w:b/>
          <w:sz w:val="24"/>
        </w:rPr>
        <w:t xml:space="preserve"> 2</w:t>
      </w:r>
      <w:r w:rsidR="00B22732" w:rsidRPr="005464E5">
        <w:rPr>
          <w:rFonts w:asciiTheme="minorHAnsi" w:hAnsiTheme="minorHAnsi" w:cs="Tahoma"/>
          <w:b/>
          <w:sz w:val="24"/>
        </w:rPr>
        <w:t>0</w:t>
      </w:r>
      <w:r w:rsidRPr="005464E5">
        <w:rPr>
          <w:rFonts w:asciiTheme="minorHAnsi" w:hAnsiTheme="minorHAnsi" w:cs="Tahoma"/>
          <w:sz w:val="24"/>
        </w:rPr>
        <w:t xml:space="preserve">%, </w:t>
      </w:r>
      <w:r w:rsidR="005C0FDC" w:rsidRPr="005464E5">
        <w:rPr>
          <w:rFonts w:asciiTheme="minorHAnsi" w:hAnsiTheme="minorHAnsi" w:cs="Tahoma"/>
          <w:sz w:val="24"/>
        </w:rPr>
        <w:t>dietro alla Cina</w:t>
      </w:r>
      <w:r w:rsidR="00745F34" w:rsidRPr="005464E5">
        <w:rPr>
          <w:rFonts w:asciiTheme="minorHAnsi" w:hAnsiTheme="minorHAnsi" w:cs="Tahoma"/>
          <w:sz w:val="24"/>
        </w:rPr>
        <w:t>.</w:t>
      </w:r>
      <w:r w:rsidR="005C0FDC" w:rsidRPr="005464E5">
        <w:rPr>
          <w:rFonts w:asciiTheme="minorHAnsi" w:hAnsiTheme="minorHAnsi" w:cs="Tahoma"/>
          <w:sz w:val="24"/>
        </w:rPr>
        <w:t xml:space="preserve"> </w:t>
      </w:r>
      <w:r w:rsidR="00A60A9B" w:rsidRPr="005464E5">
        <w:rPr>
          <w:rFonts w:asciiTheme="minorHAnsi" w:hAnsiTheme="minorHAnsi" w:cs="Tahoma"/>
          <w:sz w:val="24"/>
        </w:rPr>
        <w:t>S</w:t>
      </w:r>
      <w:r w:rsidR="005C0FDC" w:rsidRPr="005464E5">
        <w:rPr>
          <w:rFonts w:asciiTheme="minorHAnsi" w:hAnsiTheme="minorHAnsi" w:cs="Tahoma"/>
          <w:sz w:val="24"/>
        </w:rPr>
        <w:t xml:space="preserve">e considerassimo la </w:t>
      </w:r>
      <w:r w:rsidR="00A60A9B" w:rsidRPr="005464E5">
        <w:rPr>
          <w:rFonts w:asciiTheme="minorHAnsi" w:hAnsiTheme="minorHAnsi" w:cs="Tahoma"/>
          <w:sz w:val="24"/>
        </w:rPr>
        <w:t xml:space="preserve">sola </w:t>
      </w:r>
      <w:r w:rsidR="005C0FDC" w:rsidRPr="005464E5">
        <w:rPr>
          <w:rFonts w:asciiTheme="minorHAnsi" w:hAnsiTheme="minorHAnsi" w:cs="Tahoma"/>
          <w:sz w:val="24"/>
        </w:rPr>
        <w:t xml:space="preserve">quota relativa al prodotto di fascia alta le esportazioni italiane sarebbero </w:t>
      </w:r>
      <w:r w:rsidR="003D0817" w:rsidRPr="005464E5">
        <w:rPr>
          <w:rFonts w:asciiTheme="minorHAnsi" w:hAnsiTheme="minorHAnsi" w:cs="Tahoma"/>
          <w:sz w:val="24"/>
        </w:rPr>
        <w:t xml:space="preserve">sempre </w:t>
      </w:r>
      <w:r w:rsidR="005C0FDC" w:rsidRPr="005464E5">
        <w:rPr>
          <w:rFonts w:asciiTheme="minorHAnsi" w:hAnsiTheme="minorHAnsi" w:cs="Tahoma"/>
          <w:sz w:val="24"/>
        </w:rPr>
        <w:t>al primo posto con una quota a valore vicina al 70%.</w:t>
      </w:r>
      <w:r w:rsidR="00745F34" w:rsidRPr="005464E5">
        <w:rPr>
          <w:rFonts w:asciiTheme="minorHAnsi" w:hAnsiTheme="minorHAnsi" w:cs="Tahoma"/>
          <w:sz w:val="24"/>
        </w:rPr>
        <w:t xml:space="preserve"> </w:t>
      </w:r>
    </w:p>
    <w:p w:rsidR="00D33BF1" w:rsidRPr="005464E5" w:rsidRDefault="00D33BF1" w:rsidP="00D33BF1">
      <w:pPr>
        <w:tabs>
          <w:tab w:val="right" w:pos="9070"/>
        </w:tabs>
        <w:jc w:val="both"/>
        <w:rPr>
          <w:rFonts w:asciiTheme="minorHAnsi" w:hAnsiTheme="minorHAnsi" w:cs="Tahoma"/>
          <w:sz w:val="24"/>
        </w:rPr>
      </w:pPr>
    </w:p>
    <w:p w:rsidR="003336E3" w:rsidRDefault="003336E3" w:rsidP="00C776A9">
      <w:pPr>
        <w:jc w:val="both"/>
        <w:rPr>
          <w:rFonts w:asciiTheme="minorHAnsi" w:hAnsiTheme="minorHAnsi" w:cs="Tahoma"/>
          <w:b/>
          <w:sz w:val="24"/>
        </w:rPr>
      </w:pPr>
    </w:p>
    <w:p w:rsidR="00C776A9" w:rsidRPr="005464E5" w:rsidRDefault="006E1A4D" w:rsidP="00C776A9">
      <w:pPr>
        <w:jc w:val="both"/>
        <w:rPr>
          <w:rFonts w:asciiTheme="minorHAnsi" w:hAnsiTheme="minorHAnsi" w:cs="Tahoma"/>
          <w:b/>
          <w:sz w:val="24"/>
        </w:rPr>
      </w:pPr>
      <w:r w:rsidRPr="005464E5">
        <w:rPr>
          <w:rFonts w:asciiTheme="minorHAnsi" w:hAnsiTheme="minorHAnsi" w:cs="Tahoma"/>
          <w:b/>
          <w:sz w:val="24"/>
        </w:rPr>
        <w:lastRenderedPageBreak/>
        <w:t>LE ESPORTAZIONI IN VOLUME</w:t>
      </w:r>
    </w:p>
    <w:p w:rsidR="00C776A9" w:rsidRPr="005464E5" w:rsidRDefault="00C776A9" w:rsidP="00C776A9">
      <w:pPr>
        <w:jc w:val="both"/>
        <w:rPr>
          <w:rFonts w:asciiTheme="minorHAnsi" w:hAnsiTheme="minorHAnsi" w:cs="Tahoma"/>
          <w:b/>
          <w:sz w:val="24"/>
          <w:u w:val="single"/>
        </w:rPr>
      </w:pPr>
    </w:p>
    <w:p w:rsidR="00612A7A" w:rsidRPr="005464E5" w:rsidRDefault="0011447B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  <w:bCs/>
        </w:rPr>
      </w:pPr>
      <w:r w:rsidRPr="005464E5">
        <w:rPr>
          <w:rFonts w:asciiTheme="minorHAnsi" w:eastAsia="Times New Roman" w:hAnsiTheme="minorHAnsi" w:cs="Tahoma"/>
          <w:bCs/>
        </w:rPr>
        <w:t>L</w:t>
      </w:r>
      <w:r w:rsidR="00612A7A" w:rsidRPr="005464E5">
        <w:rPr>
          <w:rFonts w:asciiTheme="minorHAnsi" w:eastAsia="Times New Roman" w:hAnsiTheme="minorHAnsi" w:cs="Tahoma"/>
          <w:bCs/>
        </w:rPr>
        <w:t>’occhialeria</w:t>
      </w:r>
      <w:r w:rsidRPr="005464E5">
        <w:rPr>
          <w:rFonts w:asciiTheme="minorHAnsi" w:eastAsia="Times New Roman" w:hAnsiTheme="minorHAnsi" w:cs="Tahoma"/>
          <w:bCs/>
        </w:rPr>
        <w:t xml:space="preserve"> </w:t>
      </w:r>
      <w:r w:rsidR="00612A7A" w:rsidRPr="005464E5">
        <w:rPr>
          <w:rFonts w:asciiTheme="minorHAnsi" w:eastAsia="Times New Roman" w:hAnsiTheme="minorHAnsi" w:cs="Tahoma"/>
          <w:bCs/>
        </w:rPr>
        <w:t xml:space="preserve">italiana ha esportato </w:t>
      </w:r>
      <w:r w:rsidR="00C776A9" w:rsidRPr="005464E5">
        <w:rPr>
          <w:rFonts w:asciiTheme="minorHAnsi" w:eastAsia="Times New Roman" w:hAnsiTheme="minorHAnsi" w:cs="Tahoma"/>
          <w:bCs/>
        </w:rPr>
        <w:t>nel 20</w:t>
      </w:r>
      <w:r w:rsidR="003B3148" w:rsidRPr="005464E5">
        <w:rPr>
          <w:rFonts w:asciiTheme="minorHAnsi" w:eastAsia="Times New Roman" w:hAnsiTheme="minorHAnsi" w:cs="Tahoma"/>
          <w:bCs/>
        </w:rPr>
        <w:t>1</w:t>
      </w:r>
      <w:r w:rsidRPr="005464E5">
        <w:rPr>
          <w:rFonts w:asciiTheme="minorHAnsi" w:eastAsia="Times New Roman" w:hAnsiTheme="minorHAnsi" w:cs="Tahoma"/>
          <w:bCs/>
        </w:rPr>
        <w:t>7</w:t>
      </w:r>
      <w:r w:rsidR="00C776A9" w:rsidRPr="005464E5">
        <w:rPr>
          <w:rFonts w:asciiTheme="minorHAnsi" w:eastAsia="Times New Roman" w:hAnsiTheme="minorHAnsi" w:cs="Tahoma"/>
          <w:bCs/>
        </w:rPr>
        <w:t xml:space="preserve"> </w:t>
      </w:r>
      <w:r w:rsidR="00612A7A" w:rsidRPr="005464E5">
        <w:rPr>
          <w:rFonts w:asciiTheme="minorHAnsi" w:eastAsia="Times New Roman" w:hAnsiTheme="minorHAnsi" w:cs="Tahoma"/>
          <w:bCs/>
        </w:rPr>
        <w:t>circa</w:t>
      </w:r>
      <w:r w:rsidR="00503FEF" w:rsidRPr="005464E5">
        <w:rPr>
          <w:rFonts w:asciiTheme="minorHAnsi" w:eastAsia="Times New Roman" w:hAnsiTheme="minorHAnsi" w:cs="Tahoma"/>
          <w:bCs/>
        </w:rPr>
        <w:t xml:space="preserve"> </w:t>
      </w:r>
      <w:r w:rsidR="003D0817" w:rsidRPr="005464E5">
        <w:rPr>
          <w:rFonts w:asciiTheme="minorHAnsi" w:eastAsia="Times New Roman" w:hAnsiTheme="minorHAnsi" w:cs="Tahoma"/>
          <w:b/>
          <w:bCs/>
        </w:rPr>
        <w:t>10</w:t>
      </w:r>
      <w:r w:rsidRPr="005464E5">
        <w:rPr>
          <w:rFonts w:asciiTheme="minorHAnsi" w:eastAsia="Times New Roman" w:hAnsiTheme="minorHAnsi" w:cs="Tahoma"/>
          <w:b/>
          <w:bCs/>
        </w:rPr>
        <w:t>3,4</w:t>
      </w:r>
      <w:r w:rsidR="00C776A9" w:rsidRPr="005464E5">
        <w:rPr>
          <w:rFonts w:asciiTheme="minorHAnsi" w:eastAsia="Times New Roman" w:hAnsiTheme="minorHAnsi" w:cs="Tahoma"/>
          <w:b/>
          <w:bCs/>
        </w:rPr>
        <w:t xml:space="preserve"> milioni di paia di occhiali</w:t>
      </w:r>
      <w:r w:rsidR="00C776A9" w:rsidRPr="005464E5">
        <w:rPr>
          <w:rFonts w:asciiTheme="minorHAnsi" w:eastAsia="Times New Roman" w:hAnsiTheme="minorHAnsi" w:cs="Tahoma"/>
          <w:bCs/>
        </w:rPr>
        <w:t xml:space="preserve">, </w:t>
      </w:r>
      <w:r w:rsidR="001D40D2" w:rsidRPr="005464E5">
        <w:rPr>
          <w:rFonts w:asciiTheme="minorHAnsi" w:eastAsia="Times New Roman" w:hAnsiTheme="minorHAnsi" w:cs="Tahoma"/>
          <w:bCs/>
        </w:rPr>
        <w:t>quantità</w:t>
      </w:r>
      <w:r w:rsidR="00612A7A" w:rsidRPr="005464E5">
        <w:rPr>
          <w:rFonts w:asciiTheme="minorHAnsi" w:eastAsia="Times New Roman" w:hAnsiTheme="minorHAnsi" w:cs="Tahoma"/>
          <w:bCs/>
        </w:rPr>
        <w:t xml:space="preserve"> </w:t>
      </w:r>
      <w:r w:rsidR="00612A7A" w:rsidRPr="005464E5">
        <w:rPr>
          <w:rFonts w:asciiTheme="minorHAnsi" w:eastAsia="Times New Roman" w:hAnsiTheme="minorHAnsi" w:cs="Tahoma"/>
          <w:b/>
          <w:bCs/>
        </w:rPr>
        <w:t xml:space="preserve">in crescita del </w:t>
      </w:r>
      <w:r w:rsidRPr="005464E5">
        <w:rPr>
          <w:rFonts w:asciiTheme="minorHAnsi" w:eastAsia="Times New Roman" w:hAnsiTheme="minorHAnsi" w:cs="Tahoma"/>
          <w:b/>
          <w:bCs/>
        </w:rPr>
        <w:t>3</w:t>
      </w:r>
      <w:r w:rsidR="003D0817" w:rsidRPr="005464E5">
        <w:rPr>
          <w:rFonts w:asciiTheme="minorHAnsi" w:eastAsia="Times New Roman" w:hAnsiTheme="minorHAnsi" w:cs="Tahoma"/>
          <w:b/>
          <w:bCs/>
        </w:rPr>
        <w:t>,</w:t>
      </w:r>
      <w:r w:rsidRPr="005464E5">
        <w:rPr>
          <w:rFonts w:asciiTheme="minorHAnsi" w:eastAsia="Times New Roman" w:hAnsiTheme="minorHAnsi" w:cs="Tahoma"/>
          <w:b/>
          <w:bCs/>
        </w:rPr>
        <w:t>3</w:t>
      </w:r>
      <w:r w:rsidR="00612A7A" w:rsidRPr="005464E5">
        <w:rPr>
          <w:rFonts w:asciiTheme="minorHAnsi" w:eastAsia="Times New Roman" w:hAnsiTheme="minorHAnsi" w:cs="Tahoma"/>
          <w:bCs/>
        </w:rPr>
        <w:t>% rispetto al 201</w:t>
      </w:r>
      <w:r w:rsidRPr="005464E5">
        <w:rPr>
          <w:rFonts w:asciiTheme="minorHAnsi" w:eastAsia="Times New Roman" w:hAnsiTheme="minorHAnsi" w:cs="Tahoma"/>
          <w:bCs/>
        </w:rPr>
        <w:t>6</w:t>
      </w:r>
      <w:r w:rsidR="00612A7A" w:rsidRPr="005464E5">
        <w:rPr>
          <w:rFonts w:asciiTheme="minorHAnsi" w:eastAsia="Times New Roman" w:hAnsiTheme="minorHAnsi" w:cs="Tahoma"/>
          <w:bCs/>
        </w:rPr>
        <w:t>.</w:t>
      </w:r>
    </w:p>
    <w:p w:rsidR="00612A7A" w:rsidRPr="005464E5" w:rsidRDefault="00612A7A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  <w:bCs/>
        </w:rPr>
      </w:pPr>
    </w:p>
    <w:p w:rsidR="00C776A9" w:rsidRPr="0049001B" w:rsidRDefault="001D40D2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  <w:bCs/>
        </w:rPr>
      </w:pPr>
      <w:r w:rsidRPr="005464E5">
        <w:rPr>
          <w:rFonts w:asciiTheme="minorHAnsi" w:eastAsia="Times New Roman" w:hAnsiTheme="minorHAnsi" w:cs="Tahoma"/>
          <w:bCs/>
        </w:rPr>
        <w:t>De</w:t>
      </w:r>
      <w:r w:rsidR="003D0817" w:rsidRPr="005464E5">
        <w:rPr>
          <w:rFonts w:asciiTheme="minorHAnsi" w:eastAsia="Times New Roman" w:hAnsiTheme="minorHAnsi" w:cs="Tahoma"/>
          <w:bCs/>
        </w:rPr>
        <w:t>gli oltre 10</w:t>
      </w:r>
      <w:r w:rsidR="0011447B" w:rsidRPr="005464E5">
        <w:rPr>
          <w:rFonts w:asciiTheme="minorHAnsi" w:eastAsia="Times New Roman" w:hAnsiTheme="minorHAnsi" w:cs="Tahoma"/>
          <w:bCs/>
        </w:rPr>
        <w:t>3</w:t>
      </w:r>
      <w:r w:rsidRPr="005464E5">
        <w:rPr>
          <w:rFonts w:asciiTheme="minorHAnsi" w:eastAsia="Times New Roman" w:hAnsiTheme="minorHAnsi" w:cs="Tahoma"/>
          <w:bCs/>
        </w:rPr>
        <w:t xml:space="preserve"> milioni di paia esportat</w:t>
      </w:r>
      <w:r w:rsidR="003A50A8" w:rsidRPr="005464E5">
        <w:rPr>
          <w:rFonts w:asciiTheme="minorHAnsi" w:eastAsia="Times New Roman" w:hAnsiTheme="minorHAnsi" w:cs="Tahoma"/>
          <w:bCs/>
        </w:rPr>
        <w:t>i</w:t>
      </w:r>
      <w:r w:rsidRPr="005464E5">
        <w:rPr>
          <w:rFonts w:asciiTheme="minorHAnsi" w:eastAsia="Times New Roman" w:hAnsiTheme="minorHAnsi" w:cs="Tahoma"/>
          <w:bCs/>
        </w:rPr>
        <w:t xml:space="preserve">, </w:t>
      </w:r>
      <w:r w:rsidR="00503FEF" w:rsidRPr="005464E5">
        <w:rPr>
          <w:rFonts w:asciiTheme="minorHAnsi" w:eastAsia="Times New Roman" w:hAnsiTheme="minorHAnsi" w:cs="Tahoma"/>
          <w:b/>
          <w:bCs/>
        </w:rPr>
        <w:t>6</w:t>
      </w:r>
      <w:r w:rsidR="0011447B" w:rsidRPr="005464E5">
        <w:rPr>
          <w:rFonts w:asciiTheme="minorHAnsi" w:eastAsia="Times New Roman" w:hAnsiTheme="minorHAnsi" w:cs="Tahoma"/>
          <w:b/>
          <w:bCs/>
        </w:rPr>
        <w:t>9</w:t>
      </w:r>
      <w:r w:rsidR="003D0817" w:rsidRPr="005464E5">
        <w:rPr>
          <w:rFonts w:asciiTheme="minorHAnsi" w:eastAsia="Times New Roman" w:hAnsiTheme="minorHAnsi" w:cs="Tahoma"/>
          <w:b/>
          <w:bCs/>
        </w:rPr>
        <w:t>,</w:t>
      </w:r>
      <w:r w:rsidR="0011447B" w:rsidRPr="005464E5">
        <w:rPr>
          <w:rFonts w:asciiTheme="minorHAnsi" w:eastAsia="Times New Roman" w:hAnsiTheme="minorHAnsi" w:cs="Tahoma"/>
          <w:b/>
          <w:bCs/>
        </w:rPr>
        <w:t>1</w:t>
      </w:r>
      <w:r w:rsidR="00C776A9" w:rsidRPr="005464E5">
        <w:rPr>
          <w:rFonts w:asciiTheme="minorHAnsi" w:eastAsia="Times New Roman" w:hAnsiTheme="minorHAnsi" w:cs="Tahoma"/>
          <w:b/>
          <w:bCs/>
        </w:rPr>
        <w:t xml:space="preserve"> milioni </w:t>
      </w:r>
      <w:r w:rsidRPr="005464E5">
        <w:rPr>
          <w:rFonts w:asciiTheme="minorHAnsi" w:eastAsia="Times New Roman" w:hAnsiTheme="minorHAnsi" w:cs="Tahoma"/>
          <w:b/>
          <w:bCs/>
        </w:rPr>
        <w:t>sono stat</w:t>
      </w:r>
      <w:r w:rsidR="003A50A8" w:rsidRPr="005464E5">
        <w:rPr>
          <w:rFonts w:asciiTheme="minorHAnsi" w:eastAsia="Times New Roman" w:hAnsiTheme="minorHAnsi" w:cs="Tahoma"/>
          <w:b/>
          <w:bCs/>
        </w:rPr>
        <w:t>i</w:t>
      </w:r>
      <w:r w:rsidRPr="005464E5">
        <w:rPr>
          <w:rFonts w:asciiTheme="minorHAnsi" w:eastAsia="Times New Roman" w:hAnsiTheme="minorHAnsi" w:cs="Tahoma"/>
          <w:b/>
          <w:bCs/>
        </w:rPr>
        <w:t xml:space="preserve"> </w:t>
      </w:r>
      <w:r w:rsidR="00C776A9" w:rsidRPr="005464E5">
        <w:rPr>
          <w:rFonts w:asciiTheme="minorHAnsi" w:eastAsia="Times New Roman" w:hAnsiTheme="minorHAnsi" w:cs="Tahoma"/>
          <w:b/>
          <w:bCs/>
        </w:rPr>
        <w:t>di occhiali da sole</w:t>
      </w:r>
      <w:r w:rsidR="00C776A9" w:rsidRPr="005464E5">
        <w:rPr>
          <w:rFonts w:asciiTheme="minorHAnsi" w:eastAsia="Times New Roman" w:hAnsiTheme="minorHAnsi" w:cs="Tahoma"/>
          <w:bCs/>
        </w:rPr>
        <w:t xml:space="preserve"> (il </w:t>
      </w:r>
      <w:r w:rsidR="00C776A9" w:rsidRPr="005464E5">
        <w:rPr>
          <w:rFonts w:asciiTheme="minorHAnsi" w:eastAsia="Times New Roman" w:hAnsiTheme="minorHAnsi" w:cs="Tahoma"/>
          <w:b/>
          <w:bCs/>
        </w:rPr>
        <w:t>6</w:t>
      </w:r>
      <w:r w:rsidR="002C3664" w:rsidRPr="005464E5">
        <w:rPr>
          <w:rFonts w:asciiTheme="minorHAnsi" w:eastAsia="Times New Roman" w:hAnsiTheme="minorHAnsi" w:cs="Tahoma"/>
          <w:b/>
          <w:bCs/>
        </w:rPr>
        <w:t>6</w:t>
      </w:r>
      <w:r w:rsidR="003A50A8" w:rsidRPr="005464E5">
        <w:rPr>
          <w:rFonts w:asciiTheme="minorHAnsi" w:eastAsia="Times New Roman" w:hAnsiTheme="minorHAnsi" w:cs="Tahoma"/>
          <w:b/>
          <w:bCs/>
        </w:rPr>
        <w:t>,</w:t>
      </w:r>
      <w:r w:rsidR="0011447B" w:rsidRPr="005464E5">
        <w:rPr>
          <w:rFonts w:asciiTheme="minorHAnsi" w:eastAsia="Times New Roman" w:hAnsiTheme="minorHAnsi" w:cs="Tahoma"/>
          <w:b/>
          <w:bCs/>
        </w:rPr>
        <w:t>8</w:t>
      </w:r>
      <w:r w:rsidR="00C776A9" w:rsidRPr="005464E5">
        <w:rPr>
          <w:rFonts w:asciiTheme="minorHAnsi" w:eastAsia="Times New Roman" w:hAnsiTheme="minorHAnsi" w:cs="Tahoma"/>
          <w:bCs/>
        </w:rPr>
        <w:t xml:space="preserve">%) e </w:t>
      </w:r>
      <w:r w:rsidR="001832DC" w:rsidRPr="005464E5">
        <w:rPr>
          <w:rFonts w:asciiTheme="minorHAnsi" w:eastAsia="Times New Roman" w:hAnsiTheme="minorHAnsi" w:cs="Tahoma"/>
          <w:b/>
          <w:bCs/>
        </w:rPr>
        <w:t>3</w:t>
      </w:r>
      <w:r w:rsidR="0011447B" w:rsidRPr="005464E5">
        <w:rPr>
          <w:rFonts w:asciiTheme="minorHAnsi" w:eastAsia="Times New Roman" w:hAnsiTheme="minorHAnsi" w:cs="Tahoma"/>
          <w:b/>
          <w:bCs/>
        </w:rPr>
        <w:t>4</w:t>
      </w:r>
      <w:r w:rsidR="002C3664" w:rsidRPr="005464E5">
        <w:rPr>
          <w:rFonts w:asciiTheme="minorHAnsi" w:eastAsia="Times New Roman" w:hAnsiTheme="minorHAnsi" w:cs="Tahoma"/>
          <w:b/>
          <w:bCs/>
        </w:rPr>
        <w:t>,3</w:t>
      </w:r>
      <w:r w:rsidR="00C776A9" w:rsidRPr="005464E5">
        <w:rPr>
          <w:rFonts w:asciiTheme="minorHAnsi" w:eastAsia="Times New Roman" w:hAnsiTheme="minorHAnsi" w:cs="Tahoma"/>
          <w:b/>
          <w:bCs/>
        </w:rPr>
        <w:t xml:space="preserve"> milioni </w:t>
      </w:r>
      <w:r w:rsidR="00AA699B" w:rsidRPr="005464E5">
        <w:rPr>
          <w:rFonts w:asciiTheme="minorHAnsi" w:eastAsia="Times New Roman" w:hAnsiTheme="minorHAnsi" w:cs="Tahoma"/>
          <w:b/>
          <w:bCs/>
        </w:rPr>
        <w:t>di</w:t>
      </w:r>
      <w:r w:rsidR="00C776A9" w:rsidRPr="005464E5">
        <w:rPr>
          <w:rFonts w:asciiTheme="minorHAnsi" w:eastAsia="Times New Roman" w:hAnsiTheme="minorHAnsi" w:cs="Tahoma"/>
          <w:b/>
          <w:bCs/>
        </w:rPr>
        <w:t xml:space="preserve"> montature da vista</w:t>
      </w:r>
      <w:r w:rsidR="00C776A9" w:rsidRPr="005464E5">
        <w:rPr>
          <w:rFonts w:asciiTheme="minorHAnsi" w:eastAsia="Times New Roman" w:hAnsiTheme="minorHAnsi" w:cs="Tahoma"/>
          <w:bCs/>
        </w:rPr>
        <w:t xml:space="preserve"> (il </w:t>
      </w:r>
      <w:r w:rsidR="00C776A9" w:rsidRPr="005464E5">
        <w:rPr>
          <w:rFonts w:asciiTheme="minorHAnsi" w:eastAsia="Times New Roman" w:hAnsiTheme="minorHAnsi" w:cs="Tahoma"/>
          <w:b/>
          <w:bCs/>
        </w:rPr>
        <w:t>3</w:t>
      </w:r>
      <w:r w:rsidR="002C3664" w:rsidRPr="005464E5">
        <w:rPr>
          <w:rFonts w:asciiTheme="minorHAnsi" w:eastAsia="Times New Roman" w:hAnsiTheme="minorHAnsi" w:cs="Tahoma"/>
          <w:b/>
          <w:bCs/>
        </w:rPr>
        <w:t>3</w:t>
      </w:r>
      <w:r w:rsidR="003A50A8" w:rsidRPr="005464E5">
        <w:rPr>
          <w:rFonts w:asciiTheme="minorHAnsi" w:eastAsia="Times New Roman" w:hAnsiTheme="minorHAnsi" w:cs="Tahoma"/>
          <w:b/>
          <w:bCs/>
        </w:rPr>
        <w:t>,</w:t>
      </w:r>
      <w:r w:rsidR="0011447B" w:rsidRPr="005464E5">
        <w:rPr>
          <w:rFonts w:asciiTheme="minorHAnsi" w:eastAsia="Times New Roman" w:hAnsiTheme="minorHAnsi" w:cs="Tahoma"/>
          <w:b/>
          <w:bCs/>
        </w:rPr>
        <w:t>2</w:t>
      </w:r>
      <w:r w:rsidR="00C776A9" w:rsidRPr="005464E5">
        <w:rPr>
          <w:rFonts w:asciiTheme="minorHAnsi" w:eastAsia="Times New Roman" w:hAnsiTheme="minorHAnsi" w:cs="Tahoma"/>
          <w:bCs/>
        </w:rPr>
        <w:t>%).</w:t>
      </w:r>
      <w:r w:rsidR="003A50A8" w:rsidRPr="005464E5">
        <w:rPr>
          <w:rFonts w:asciiTheme="minorHAnsi" w:eastAsia="Times New Roman" w:hAnsiTheme="minorHAnsi" w:cs="Tahoma"/>
          <w:bCs/>
        </w:rPr>
        <w:t xml:space="preserve"> Nel dettaglio le esportazioni di occhiali da sole sono cresciute in quantità del </w:t>
      </w:r>
      <w:r w:rsidR="0011447B" w:rsidRPr="005464E5">
        <w:rPr>
          <w:rFonts w:asciiTheme="minorHAnsi" w:eastAsia="Times New Roman" w:hAnsiTheme="minorHAnsi" w:cs="Tahoma"/>
          <w:bCs/>
        </w:rPr>
        <w:t>3</w:t>
      </w:r>
      <w:r w:rsidR="003A50A8" w:rsidRPr="005464E5">
        <w:rPr>
          <w:rFonts w:asciiTheme="minorHAnsi" w:eastAsia="Times New Roman" w:hAnsiTheme="minorHAnsi" w:cs="Tahoma"/>
          <w:bCs/>
        </w:rPr>
        <w:t>,</w:t>
      </w:r>
      <w:r w:rsidR="002C3664" w:rsidRPr="005464E5">
        <w:rPr>
          <w:rFonts w:asciiTheme="minorHAnsi" w:eastAsia="Times New Roman" w:hAnsiTheme="minorHAnsi" w:cs="Tahoma"/>
          <w:bCs/>
        </w:rPr>
        <w:t>4</w:t>
      </w:r>
      <w:r w:rsidR="003A50A8" w:rsidRPr="005464E5">
        <w:rPr>
          <w:rFonts w:asciiTheme="minorHAnsi" w:eastAsia="Times New Roman" w:hAnsiTheme="minorHAnsi" w:cs="Tahoma"/>
          <w:bCs/>
        </w:rPr>
        <w:t>% rispetto al 201</w:t>
      </w:r>
      <w:r w:rsidR="0011447B" w:rsidRPr="005464E5">
        <w:rPr>
          <w:rFonts w:asciiTheme="minorHAnsi" w:eastAsia="Times New Roman" w:hAnsiTheme="minorHAnsi" w:cs="Tahoma"/>
          <w:bCs/>
        </w:rPr>
        <w:t>6</w:t>
      </w:r>
      <w:r w:rsidR="002C3664" w:rsidRPr="005464E5">
        <w:rPr>
          <w:rFonts w:asciiTheme="minorHAnsi" w:eastAsia="Times New Roman" w:hAnsiTheme="minorHAnsi" w:cs="Tahoma"/>
          <w:bCs/>
        </w:rPr>
        <w:t xml:space="preserve">, quelle di </w:t>
      </w:r>
      <w:r w:rsidR="003A50A8" w:rsidRPr="005464E5">
        <w:rPr>
          <w:rFonts w:asciiTheme="minorHAnsi" w:eastAsia="Times New Roman" w:hAnsiTheme="minorHAnsi" w:cs="Tahoma"/>
          <w:bCs/>
        </w:rPr>
        <w:t xml:space="preserve">montature </w:t>
      </w:r>
      <w:r w:rsidR="002C3664" w:rsidRPr="005464E5">
        <w:rPr>
          <w:rFonts w:asciiTheme="minorHAnsi" w:eastAsia="Times New Roman" w:hAnsiTheme="minorHAnsi" w:cs="Tahoma"/>
          <w:bCs/>
        </w:rPr>
        <w:t xml:space="preserve">del </w:t>
      </w:r>
      <w:r w:rsidR="0011447B" w:rsidRPr="005464E5">
        <w:rPr>
          <w:rFonts w:asciiTheme="minorHAnsi" w:eastAsia="Times New Roman" w:hAnsiTheme="minorHAnsi" w:cs="Tahoma"/>
          <w:bCs/>
        </w:rPr>
        <w:t>3</w:t>
      </w:r>
      <w:r w:rsidR="003A50A8" w:rsidRPr="005464E5">
        <w:rPr>
          <w:rFonts w:asciiTheme="minorHAnsi" w:eastAsia="Times New Roman" w:hAnsiTheme="minorHAnsi" w:cs="Tahoma"/>
          <w:bCs/>
        </w:rPr>
        <w:t>%.</w:t>
      </w:r>
      <w:r w:rsidR="00C776A9" w:rsidRPr="0049001B">
        <w:rPr>
          <w:rFonts w:asciiTheme="minorHAnsi" w:eastAsia="Times New Roman" w:hAnsiTheme="minorHAnsi" w:cs="Tahoma"/>
          <w:bCs/>
        </w:rPr>
        <w:t xml:space="preserve"> </w:t>
      </w:r>
    </w:p>
    <w:p w:rsidR="00C776A9" w:rsidRPr="0049001B" w:rsidRDefault="00C776A9" w:rsidP="00C776A9">
      <w:pPr>
        <w:pStyle w:val="xl2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Theme="minorHAnsi" w:eastAsia="Times New Roman" w:hAnsiTheme="minorHAnsi" w:cs="Tahoma"/>
          <w:bCs/>
        </w:rPr>
      </w:pPr>
    </w:p>
    <w:p w:rsidR="006D5C3F" w:rsidRDefault="006D5C3F" w:rsidP="00C776A9">
      <w:pPr>
        <w:jc w:val="both"/>
        <w:rPr>
          <w:rFonts w:asciiTheme="minorHAnsi" w:hAnsiTheme="minorHAnsi" w:cs="Tahoma"/>
          <w:b/>
          <w:sz w:val="24"/>
        </w:rPr>
      </w:pPr>
    </w:p>
    <w:p w:rsidR="00C776A9" w:rsidRPr="0049001B" w:rsidRDefault="00852E5E" w:rsidP="00C776A9">
      <w:pPr>
        <w:jc w:val="both"/>
        <w:rPr>
          <w:rFonts w:asciiTheme="minorHAnsi" w:hAnsiTheme="minorHAnsi" w:cs="Tahoma"/>
          <w:b/>
          <w:sz w:val="24"/>
        </w:rPr>
      </w:pPr>
      <w:r w:rsidRPr="00897116">
        <w:rPr>
          <w:rFonts w:asciiTheme="minorHAnsi" w:hAnsiTheme="minorHAnsi" w:cs="Tahoma"/>
          <w:b/>
          <w:sz w:val="24"/>
        </w:rPr>
        <w:t>IL MERCATO INTERNO</w:t>
      </w:r>
    </w:p>
    <w:p w:rsidR="00852E5E" w:rsidRPr="0049001B" w:rsidRDefault="00852E5E" w:rsidP="00C776A9">
      <w:pPr>
        <w:jc w:val="both"/>
        <w:rPr>
          <w:rFonts w:asciiTheme="minorHAnsi" w:hAnsiTheme="minorHAnsi" w:cs="Tahoma"/>
          <w:b/>
          <w:sz w:val="24"/>
          <w:u w:val="single"/>
        </w:rPr>
      </w:pPr>
    </w:p>
    <w:p w:rsidR="00897116" w:rsidRDefault="00897116" w:rsidP="00897116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Il mercato interno nel 2017 si è </w:t>
      </w:r>
      <w:r w:rsidRPr="00897116">
        <w:rPr>
          <w:rFonts w:asciiTheme="minorHAnsi" w:hAnsiTheme="minorHAnsi"/>
          <w:sz w:val="24"/>
        </w:rPr>
        <w:t>dimostra</w:t>
      </w:r>
      <w:r>
        <w:rPr>
          <w:rFonts w:asciiTheme="minorHAnsi" w:hAnsiTheme="minorHAnsi"/>
          <w:sz w:val="24"/>
        </w:rPr>
        <w:t>to</w:t>
      </w:r>
      <w:r w:rsidRPr="00897116">
        <w:rPr>
          <w:rFonts w:asciiTheme="minorHAnsi" w:hAnsiTheme="minorHAnsi"/>
          <w:sz w:val="24"/>
        </w:rPr>
        <w:t xml:space="preserve"> essere piuttosto asfittico, con un andamento a valore e volume decisamente piatto. Il </w:t>
      </w:r>
      <w:r w:rsidRPr="00897116">
        <w:rPr>
          <w:rFonts w:asciiTheme="minorHAnsi" w:hAnsiTheme="minorHAnsi"/>
          <w:b/>
          <w:sz w:val="24"/>
        </w:rPr>
        <w:t>sell-in</w:t>
      </w:r>
      <w:r>
        <w:rPr>
          <w:rFonts w:asciiTheme="minorHAnsi" w:hAnsiTheme="minorHAnsi"/>
          <w:sz w:val="24"/>
        </w:rPr>
        <w:t xml:space="preserve"> </w:t>
      </w:r>
      <w:r w:rsidRPr="00897116">
        <w:rPr>
          <w:rFonts w:asciiTheme="minorHAnsi" w:hAnsiTheme="minorHAnsi"/>
          <w:sz w:val="24"/>
        </w:rPr>
        <w:t xml:space="preserve">ha fatto segnare una </w:t>
      </w:r>
      <w:r w:rsidRPr="00897116">
        <w:rPr>
          <w:rFonts w:asciiTheme="minorHAnsi" w:hAnsiTheme="minorHAnsi"/>
          <w:b/>
          <w:sz w:val="24"/>
        </w:rPr>
        <w:t xml:space="preserve">leggera flessione dell’1,2% </w:t>
      </w:r>
      <w:r w:rsidR="00DA764F">
        <w:rPr>
          <w:rFonts w:asciiTheme="minorHAnsi" w:hAnsiTheme="minorHAnsi"/>
          <w:b/>
          <w:sz w:val="24"/>
        </w:rPr>
        <w:t xml:space="preserve">in valore </w:t>
      </w:r>
      <w:r w:rsidRPr="00897116">
        <w:rPr>
          <w:rFonts w:asciiTheme="minorHAnsi" w:hAnsiTheme="minorHAnsi"/>
          <w:b/>
          <w:sz w:val="24"/>
        </w:rPr>
        <w:t>a livello complessivo</w:t>
      </w:r>
      <w:r>
        <w:rPr>
          <w:rFonts w:asciiTheme="minorHAnsi" w:hAnsiTheme="minorHAnsi"/>
          <w:sz w:val="24"/>
        </w:rPr>
        <w:t>.</w:t>
      </w:r>
    </w:p>
    <w:p w:rsidR="00C87B80" w:rsidRDefault="00897116" w:rsidP="00897116">
      <w:pPr>
        <w:jc w:val="both"/>
        <w:rPr>
          <w:rFonts w:asciiTheme="minorHAnsi" w:hAnsiTheme="minorHAnsi"/>
          <w:sz w:val="24"/>
        </w:rPr>
      </w:pPr>
      <w:r w:rsidRPr="00897116">
        <w:rPr>
          <w:rFonts w:asciiTheme="minorHAnsi" w:hAnsiTheme="minorHAnsi"/>
          <w:sz w:val="24"/>
        </w:rPr>
        <w:t xml:space="preserve">Sono </w:t>
      </w:r>
      <w:r w:rsidR="00A7135A">
        <w:rPr>
          <w:rFonts w:asciiTheme="minorHAnsi" w:hAnsiTheme="minorHAnsi"/>
          <w:sz w:val="24"/>
        </w:rPr>
        <w:t xml:space="preserve">stati </w:t>
      </w:r>
      <w:r w:rsidRPr="00897116">
        <w:rPr>
          <w:rFonts w:asciiTheme="minorHAnsi" w:hAnsiTheme="minorHAnsi"/>
          <w:sz w:val="24"/>
        </w:rPr>
        <w:t xml:space="preserve">gli occhiali da sole a soffrire maggiormente </w:t>
      </w:r>
      <w:r w:rsidR="00A7135A">
        <w:rPr>
          <w:rFonts w:asciiTheme="minorHAnsi" w:hAnsiTheme="minorHAnsi"/>
          <w:sz w:val="24"/>
        </w:rPr>
        <w:t>(-</w:t>
      </w:r>
      <w:r w:rsidR="00DA764F">
        <w:rPr>
          <w:rFonts w:asciiTheme="minorHAnsi" w:hAnsiTheme="minorHAnsi"/>
          <w:sz w:val="24"/>
        </w:rPr>
        <w:t>2</w:t>
      </w:r>
      <w:r w:rsidR="00A7135A">
        <w:rPr>
          <w:rFonts w:asciiTheme="minorHAnsi" w:hAnsiTheme="minorHAnsi"/>
          <w:sz w:val="24"/>
        </w:rPr>
        <w:t>% in valore, -</w:t>
      </w:r>
      <w:r w:rsidR="00DA764F">
        <w:rPr>
          <w:rFonts w:asciiTheme="minorHAnsi" w:hAnsiTheme="minorHAnsi"/>
          <w:sz w:val="24"/>
        </w:rPr>
        <w:t>3,4</w:t>
      </w:r>
      <w:r w:rsidR="00A7135A">
        <w:rPr>
          <w:rFonts w:asciiTheme="minorHAnsi" w:hAnsiTheme="minorHAnsi"/>
          <w:sz w:val="24"/>
        </w:rPr>
        <w:t>%</w:t>
      </w:r>
      <w:r w:rsidRPr="00897116">
        <w:rPr>
          <w:rFonts w:asciiTheme="minorHAnsi" w:hAnsiTheme="minorHAnsi"/>
          <w:sz w:val="24"/>
        </w:rPr>
        <w:t xml:space="preserve"> in volume) rispetto alle montature da vista (+</w:t>
      </w:r>
      <w:r w:rsidR="00C87B80">
        <w:rPr>
          <w:rFonts w:asciiTheme="minorHAnsi" w:hAnsiTheme="minorHAnsi"/>
          <w:sz w:val="24"/>
        </w:rPr>
        <w:t>1,5</w:t>
      </w:r>
      <w:r w:rsidRPr="00897116">
        <w:rPr>
          <w:rFonts w:asciiTheme="minorHAnsi" w:hAnsiTheme="minorHAnsi"/>
          <w:sz w:val="24"/>
        </w:rPr>
        <w:t>% in valore e +</w:t>
      </w:r>
      <w:r w:rsidR="00DA764F">
        <w:rPr>
          <w:rFonts w:asciiTheme="minorHAnsi" w:hAnsiTheme="minorHAnsi"/>
          <w:sz w:val="24"/>
        </w:rPr>
        <w:t>0,8</w:t>
      </w:r>
      <w:r w:rsidRPr="00897116">
        <w:rPr>
          <w:rFonts w:asciiTheme="minorHAnsi" w:hAnsiTheme="minorHAnsi"/>
          <w:sz w:val="24"/>
        </w:rPr>
        <w:t>% in volume)</w:t>
      </w:r>
      <w:r w:rsidR="00C87B80">
        <w:rPr>
          <w:rFonts w:asciiTheme="minorHAnsi" w:hAnsiTheme="minorHAnsi"/>
          <w:sz w:val="24"/>
        </w:rPr>
        <w:t>.</w:t>
      </w:r>
    </w:p>
    <w:p w:rsidR="00897116" w:rsidRDefault="00C87B80" w:rsidP="00897116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Anche le lenti oftalmiche nel 2017 hanno segnato il passo. Il sell-in ha chiuso a -1% in v</w:t>
      </w:r>
      <w:r w:rsidR="00DA764F">
        <w:rPr>
          <w:rFonts w:asciiTheme="minorHAnsi" w:hAnsiTheme="minorHAnsi"/>
          <w:sz w:val="24"/>
        </w:rPr>
        <w:t>alore e a -1,5 in volume</w:t>
      </w:r>
      <w:r w:rsidR="00897116" w:rsidRPr="00897116">
        <w:rPr>
          <w:rFonts w:asciiTheme="minorHAnsi" w:hAnsiTheme="minorHAnsi"/>
          <w:sz w:val="24"/>
        </w:rPr>
        <w:t>.</w:t>
      </w:r>
      <w:r w:rsidR="00DA764F">
        <w:rPr>
          <w:rFonts w:asciiTheme="minorHAnsi" w:hAnsiTheme="minorHAnsi"/>
          <w:sz w:val="24"/>
        </w:rPr>
        <w:t xml:space="preserve"> Il segmento delle lenti progressive non è riuscito a controbilanciare l’andamento negativo del resto avendo avuto allo stesso modo un trend di stabilità.</w:t>
      </w:r>
    </w:p>
    <w:p w:rsidR="00DA764F" w:rsidRPr="00897116" w:rsidRDefault="00DA764F" w:rsidP="00897116">
      <w:pPr>
        <w:jc w:val="both"/>
        <w:rPr>
          <w:rFonts w:asciiTheme="minorHAnsi" w:hAnsiTheme="minorHAnsi"/>
          <w:sz w:val="24"/>
        </w:rPr>
      </w:pPr>
    </w:p>
    <w:p w:rsidR="006B5404" w:rsidRDefault="00897116" w:rsidP="00897116">
      <w:pPr>
        <w:jc w:val="both"/>
        <w:rPr>
          <w:rFonts w:asciiTheme="minorHAnsi" w:hAnsiTheme="minorHAnsi" w:cs="Tahoma"/>
          <w:b/>
          <w:caps/>
          <w:sz w:val="24"/>
        </w:rPr>
      </w:pPr>
      <w:r w:rsidRPr="00897116">
        <w:rPr>
          <w:rFonts w:asciiTheme="minorHAnsi" w:hAnsiTheme="minorHAnsi"/>
          <w:sz w:val="24"/>
        </w:rPr>
        <w:t>A comporre questa dinamica di mercato</w:t>
      </w:r>
      <w:r w:rsidR="00DA764F">
        <w:rPr>
          <w:rFonts w:asciiTheme="minorHAnsi" w:hAnsiTheme="minorHAnsi"/>
          <w:sz w:val="24"/>
        </w:rPr>
        <w:t xml:space="preserve"> </w:t>
      </w:r>
      <w:r w:rsidR="00DA764F" w:rsidRPr="00DA764F">
        <w:rPr>
          <w:rFonts w:asciiTheme="minorHAnsi" w:hAnsiTheme="minorHAnsi"/>
          <w:sz w:val="24"/>
        </w:rPr>
        <w:t xml:space="preserve">la crescita di segmenti di prezzo o di fascia molto alta (lusso) o di fascia bassa (esempio prodotto private </w:t>
      </w:r>
      <w:proofErr w:type="spellStart"/>
      <w:r w:rsidR="00DA764F" w:rsidRPr="00DA764F">
        <w:rPr>
          <w:rFonts w:asciiTheme="minorHAnsi" w:hAnsiTheme="minorHAnsi"/>
          <w:sz w:val="24"/>
        </w:rPr>
        <w:t>label</w:t>
      </w:r>
      <w:proofErr w:type="spellEnd"/>
      <w:r w:rsidR="00DA764F" w:rsidRPr="00DA764F">
        <w:rPr>
          <w:rFonts w:asciiTheme="minorHAnsi" w:hAnsiTheme="minorHAnsi"/>
          <w:sz w:val="24"/>
        </w:rPr>
        <w:t>) a discapito della fascia medio-alta</w:t>
      </w:r>
      <w:r w:rsidR="00DA764F">
        <w:rPr>
          <w:rFonts w:asciiTheme="minorHAnsi" w:hAnsiTheme="minorHAnsi"/>
          <w:sz w:val="24"/>
        </w:rPr>
        <w:t xml:space="preserve"> e la </w:t>
      </w:r>
      <w:r w:rsidRPr="00897116">
        <w:rPr>
          <w:rFonts w:asciiTheme="minorHAnsi" w:hAnsiTheme="minorHAnsi"/>
          <w:sz w:val="24"/>
        </w:rPr>
        <w:t>significativa perdita di quote di mercato dell’occhiale da sole nel canale ottico</w:t>
      </w:r>
      <w:r w:rsidR="00DA764F">
        <w:rPr>
          <w:rFonts w:asciiTheme="minorHAnsi" w:hAnsiTheme="minorHAnsi"/>
          <w:sz w:val="24"/>
        </w:rPr>
        <w:t>.</w:t>
      </w:r>
      <w:r w:rsidRPr="00897116">
        <w:rPr>
          <w:rFonts w:asciiTheme="minorHAnsi" w:hAnsiTheme="minorHAnsi"/>
          <w:sz w:val="24"/>
        </w:rPr>
        <w:t xml:space="preserve"> </w:t>
      </w:r>
    </w:p>
    <w:p w:rsidR="00897116" w:rsidRDefault="00897116" w:rsidP="00C776A9">
      <w:pPr>
        <w:jc w:val="both"/>
        <w:rPr>
          <w:rFonts w:asciiTheme="minorHAnsi" w:hAnsiTheme="minorHAnsi" w:cs="Tahoma"/>
          <w:b/>
          <w:caps/>
          <w:sz w:val="24"/>
        </w:rPr>
      </w:pPr>
    </w:p>
    <w:p w:rsidR="00C776A9" w:rsidRPr="0049001B" w:rsidRDefault="00C776A9" w:rsidP="00C776A9">
      <w:pPr>
        <w:jc w:val="both"/>
        <w:rPr>
          <w:rFonts w:asciiTheme="minorHAnsi" w:hAnsiTheme="minorHAnsi" w:cs="Tahoma"/>
          <w:b/>
          <w:caps/>
          <w:sz w:val="24"/>
        </w:rPr>
      </w:pPr>
      <w:r w:rsidRPr="0049001B">
        <w:rPr>
          <w:rFonts w:asciiTheme="minorHAnsi" w:hAnsiTheme="minorHAnsi" w:cs="Tahoma"/>
          <w:b/>
          <w:caps/>
          <w:sz w:val="24"/>
        </w:rPr>
        <w:t xml:space="preserve">Anticipazioni </w:t>
      </w:r>
      <w:r w:rsidR="00A97BF0">
        <w:rPr>
          <w:rFonts w:asciiTheme="minorHAnsi" w:hAnsiTheme="minorHAnsi" w:cs="Tahoma"/>
          <w:b/>
          <w:caps/>
          <w:sz w:val="24"/>
        </w:rPr>
        <w:t>201</w:t>
      </w:r>
      <w:r w:rsidR="00DA764F">
        <w:rPr>
          <w:rFonts w:asciiTheme="minorHAnsi" w:hAnsiTheme="minorHAnsi" w:cs="Tahoma"/>
          <w:b/>
          <w:caps/>
          <w:sz w:val="24"/>
        </w:rPr>
        <w:t>8</w:t>
      </w:r>
    </w:p>
    <w:p w:rsidR="00C776A9" w:rsidRPr="0049001B" w:rsidRDefault="00C776A9" w:rsidP="00C776A9">
      <w:pPr>
        <w:jc w:val="both"/>
        <w:rPr>
          <w:rFonts w:asciiTheme="minorHAnsi" w:hAnsiTheme="minorHAnsi" w:cs="Tahoma"/>
          <w:sz w:val="24"/>
        </w:rPr>
      </w:pPr>
    </w:p>
    <w:p w:rsidR="00E8291E" w:rsidRDefault="007A5E41" w:rsidP="007A5E41">
      <w:pPr>
        <w:jc w:val="both"/>
        <w:rPr>
          <w:rFonts w:asciiTheme="minorHAnsi" w:hAnsiTheme="minorHAnsi" w:cs="Tahoma"/>
          <w:sz w:val="24"/>
        </w:rPr>
      </w:pPr>
      <w:r w:rsidRPr="007A5E41">
        <w:rPr>
          <w:rFonts w:asciiTheme="minorHAnsi" w:hAnsiTheme="minorHAnsi" w:cs="Tahoma"/>
          <w:sz w:val="24"/>
        </w:rPr>
        <w:t>L’economia globale</w:t>
      </w:r>
      <w:r w:rsidR="00E8291E">
        <w:rPr>
          <w:rFonts w:asciiTheme="minorHAnsi" w:hAnsiTheme="minorHAnsi" w:cs="Tahoma"/>
          <w:sz w:val="24"/>
        </w:rPr>
        <w:t xml:space="preserve"> sembra essere </w:t>
      </w:r>
      <w:r w:rsidRPr="007A5E41">
        <w:rPr>
          <w:rFonts w:asciiTheme="minorHAnsi" w:hAnsiTheme="minorHAnsi" w:cs="Tahoma"/>
          <w:sz w:val="24"/>
        </w:rPr>
        <w:t xml:space="preserve">partita bene nel 2018. Fiducia e ordini </w:t>
      </w:r>
      <w:r>
        <w:rPr>
          <w:rFonts w:asciiTheme="minorHAnsi" w:hAnsiTheme="minorHAnsi" w:cs="Tahoma"/>
          <w:sz w:val="24"/>
        </w:rPr>
        <w:t>indicano una crescita ancora in a</w:t>
      </w:r>
      <w:r w:rsidRPr="007A5E41">
        <w:rPr>
          <w:rFonts w:asciiTheme="minorHAnsi" w:hAnsiTheme="minorHAnsi" w:cs="Tahoma"/>
          <w:sz w:val="24"/>
        </w:rPr>
        <w:t>ccelerazione. Vi partecipano</w:t>
      </w:r>
      <w:r>
        <w:rPr>
          <w:rFonts w:asciiTheme="minorHAnsi" w:hAnsiTheme="minorHAnsi" w:cs="Tahoma"/>
          <w:sz w:val="24"/>
        </w:rPr>
        <w:t xml:space="preserve"> </w:t>
      </w:r>
      <w:r w:rsidRPr="007A5E41">
        <w:rPr>
          <w:rFonts w:asciiTheme="minorHAnsi" w:hAnsiTheme="minorHAnsi" w:cs="Tahoma"/>
          <w:sz w:val="24"/>
        </w:rPr>
        <w:t>coralmente tutti i principali paesi, con ritmi molto alti nell’Eurozona</w:t>
      </w:r>
      <w:r w:rsidR="00E8291E">
        <w:rPr>
          <w:rFonts w:asciiTheme="minorHAnsi" w:hAnsiTheme="minorHAnsi" w:cs="Tahoma"/>
          <w:sz w:val="24"/>
        </w:rPr>
        <w:t xml:space="preserve">. </w:t>
      </w:r>
    </w:p>
    <w:p w:rsidR="007A5E41" w:rsidRPr="007A5E41" w:rsidRDefault="007A5E41" w:rsidP="007A5E41">
      <w:pPr>
        <w:jc w:val="both"/>
        <w:rPr>
          <w:rFonts w:asciiTheme="minorHAnsi" w:hAnsiTheme="minorHAnsi" w:cs="Tahoma"/>
          <w:sz w:val="24"/>
        </w:rPr>
      </w:pPr>
      <w:r w:rsidRPr="007A5E41">
        <w:rPr>
          <w:rFonts w:asciiTheme="minorHAnsi" w:hAnsiTheme="minorHAnsi" w:cs="Tahoma"/>
          <w:sz w:val="24"/>
        </w:rPr>
        <w:t>Negli USA, pendente il braccio di ferro politico sul bilancio pubblico, la crescita trarrà</w:t>
      </w:r>
      <w:r>
        <w:rPr>
          <w:rFonts w:asciiTheme="minorHAnsi" w:hAnsiTheme="minorHAnsi" w:cs="Tahoma"/>
          <w:sz w:val="24"/>
        </w:rPr>
        <w:t xml:space="preserve"> </w:t>
      </w:r>
      <w:r w:rsidRPr="007A5E41">
        <w:rPr>
          <w:rFonts w:asciiTheme="minorHAnsi" w:hAnsiTheme="minorHAnsi" w:cs="Tahoma"/>
          <w:sz w:val="24"/>
        </w:rPr>
        <w:t>alimento dall’export, favorito dall’indebolimento del dollaro, e soprattutto dallo stimolo derivante dalla riforma fiscale.</w:t>
      </w:r>
    </w:p>
    <w:p w:rsidR="00E8291E" w:rsidRDefault="00E8291E" w:rsidP="00E8291E">
      <w:pPr>
        <w:jc w:val="both"/>
        <w:rPr>
          <w:rFonts w:asciiTheme="minorHAnsi" w:hAnsiTheme="minorHAnsi" w:cs="Tahoma"/>
          <w:sz w:val="24"/>
        </w:rPr>
      </w:pPr>
    </w:p>
    <w:p w:rsidR="007A5E41" w:rsidRPr="007A5E41" w:rsidRDefault="007A5E41" w:rsidP="00E8291E">
      <w:pPr>
        <w:jc w:val="both"/>
        <w:rPr>
          <w:rFonts w:asciiTheme="minorHAnsi" w:hAnsiTheme="minorHAnsi" w:cs="Tahoma"/>
          <w:sz w:val="24"/>
        </w:rPr>
      </w:pPr>
      <w:r w:rsidRPr="007A5E41">
        <w:rPr>
          <w:rFonts w:asciiTheme="minorHAnsi" w:hAnsiTheme="minorHAnsi" w:cs="Tahoma"/>
          <w:sz w:val="24"/>
        </w:rPr>
        <w:t>Le esportazioni fanno da volano alla crescita anche delle economie emergenti. A trainare l’attività globale sono il</w:t>
      </w:r>
      <w:r>
        <w:rPr>
          <w:rFonts w:asciiTheme="minorHAnsi" w:hAnsiTheme="minorHAnsi" w:cs="Tahoma"/>
          <w:sz w:val="24"/>
        </w:rPr>
        <w:t xml:space="preserve"> </w:t>
      </w:r>
      <w:r w:rsidRPr="007A5E41">
        <w:rPr>
          <w:rFonts w:asciiTheme="minorHAnsi" w:hAnsiTheme="minorHAnsi" w:cs="Tahoma"/>
          <w:sz w:val="24"/>
        </w:rPr>
        <w:t>settore manifatturiero e gli investimenti (in rapido aumento), entrambi grandi attivatori di scambi globali</w:t>
      </w:r>
      <w:r w:rsidR="00E8291E">
        <w:rPr>
          <w:rFonts w:asciiTheme="minorHAnsi" w:hAnsiTheme="minorHAnsi" w:cs="Tahoma"/>
          <w:sz w:val="24"/>
        </w:rPr>
        <w:t>.</w:t>
      </w:r>
    </w:p>
    <w:p w:rsidR="00E8291E" w:rsidRDefault="00E8291E" w:rsidP="00E8291E">
      <w:pPr>
        <w:jc w:val="both"/>
        <w:rPr>
          <w:rFonts w:asciiTheme="minorHAnsi" w:hAnsiTheme="minorHAnsi" w:cs="Tahoma"/>
          <w:sz w:val="24"/>
        </w:rPr>
      </w:pPr>
    </w:p>
    <w:p w:rsidR="007A5E41" w:rsidRDefault="007A5E41" w:rsidP="00E8291E">
      <w:pPr>
        <w:jc w:val="both"/>
        <w:rPr>
          <w:rFonts w:asciiTheme="minorHAnsi" w:hAnsiTheme="minorHAnsi" w:cs="Tahoma"/>
          <w:sz w:val="24"/>
        </w:rPr>
      </w:pPr>
      <w:r w:rsidRPr="007A5E41">
        <w:rPr>
          <w:rFonts w:asciiTheme="minorHAnsi" w:hAnsiTheme="minorHAnsi" w:cs="Tahoma"/>
          <w:sz w:val="24"/>
        </w:rPr>
        <w:t>L’Italia partecipa al rinnovato slancio dell’economia globale, attraverso l’ottima perfo</w:t>
      </w:r>
      <w:r w:rsidR="00576CE2">
        <w:rPr>
          <w:rFonts w:asciiTheme="minorHAnsi" w:hAnsiTheme="minorHAnsi" w:cs="Tahoma"/>
          <w:sz w:val="24"/>
        </w:rPr>
        <w:t>r</w:t>
      </w:r>
      <w:r w:rsidRPr="007A5E41">
        <w:rPr>
          <w:rFonts w:asciiTheme="minorHAnsi" w:hAnsiTheme="minorHAnsi" w:cs="Tahoma"/>
          <w:sz w:val="24"/>
        </w:rPr>
        <w:t>mance dell’export e degli investimenti.</w:t>
      </w:r>
      <w:r w:rsidR="00E8291E">
        <w:rPr>
          <w:rFonts w:asciiTheme="minorHAnsi" w:hAnsiTheme="minorHAnsi" w:cs="Tahoma"/>
          <w:sz w:val="24"/>
        </w:rPr>
        <w:t xml:space="preserve"> Restano invece </w:t>
      </w:r>
      <w:r w:rsidRPr="007A5E41">
        <w:rPr>
          <w:rFonts w:asciiTheme="minorHAnsi" w:hAnsiTheme="minorHAnsi" w:cs="Tahoma"/>
          <w:sz w:val="24"/>
        </w:rPr>
        <w:t xml:space="preserve">contrastanti i segnali sull’irrobustimento dei consumi. </w:t>
      </w:r>
    </w:p>
    <w:p w:rsidR="00E8291E" w:rsidRDefault="00E8291E" w:rsidP="00E8291E">
      <w:pPr>
        <w:jc w:val="both"/>
        <w:rPr>
          <w:rFonts w:asciiTheme="minorHAnsi" w:hAnsiTheme="minorHAnsi" w:cs="Tahoma"/>
          <w:sz w:val="24"/>
        </w:rPr>
      </w:pPr>
    </w:p>
    <w:p w:rsidR="00E8291E" w:rsidRDefault="00E8291E" w:rsidP="00E8291E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Questo andamento si riflette anche nel settore dell’occhialeria, dove le esportazioni sembrano essere avviate a una crescita costante sebbene ridimensionata nelle cifre e il mercato interno non recepisce invece alcuna spinta.</w:t>
      </w:r>
    </w:p>
    <w:p w:rsidR="00746337" w:rsidRDefault="00746337" w:rsidP="007A5E41">
      <w:pPr>
        <w:jc w:val="both"/>
        <w:rPr>
          <w:noProof/>
        </w:rPr>
      </w:pPr>
    </w:p>
    <w:p w:rsidR="00147D71" w:rsidRDefault="00147D71" w:rsidP="00147D71">
      <w:pPr>
        <w:jc w:val="center"/>
        <w:rPr>
          <w:noProof/>
        </w:rPr>
      </w:pPr>
      <w:r w:rsidRPr="00147D71">
        <w:rPr>
          <w:noProof/>
        </w:rPr>
        <w:lastRenderedPageBreak/>
        <w:drawing>
          <wp:inline distT="0" distB="0" distL="0" distR="0" wp14:anchorId="3F1A5136" wp14:editId="6FAA47FA">
            <wp:extent cx="8944924" cy="3622142"/>
            <wp:effectExtent l="0" t="5715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63102" cy="36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86" w:rsidRDefault="001845AB" w:rsidP="00E74CD2">
      <w:pPr>
        <w:jc w:val="center"/>
        <w:rPr>
          <w:rFonts w:asciiTheme="minorHAnsi" w:hAnsiTheme="minorHAnsi" w:cs="Tahoma"/>
          <w:sz w:val="24"/>
        </w:rPr>
      </w:pPr>
      <w:r w:rsidRPr="001845AB">
        <w:rPr>
          <w:noProof/>
        </w:rPr>
        <w:lastRenderedPageBreak/>
        <w:drawing>
          <wp:inline distT="0" distB="0" distL="0" distR="0" wp14:anchorId="0DB4C55E" wp14:editId="6B046F01">
            <wp:extent cx="5759450" cy="335568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5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86" w:rsidRDefault="00B75086" w:rsidP="000C70CF">
      <w:pPr>
        <w:jc w:val="both"/>
        <w:rPr>
          <w:rFonts w:asciiTheme="minorHAnsi" w:hAnsiTheme="minorHAnsi" w:cs="Tahoma"/>
          <w:sz w:val="24"/>
        </w:rPr>
      </w:pPr>
    </w:p>
    <w:p w:rsidR="00E74CD2" w:rsidRDefault="00E74CD2" w:rsidP="000C70CF">
      <w:pPr>
        <w:jc w:val="both"/>
        <w:rPr>
          <w:rFonts w:asciiTheme="minorHAnsi" w:hAnsiTheme="minorHAnsi" w:cs="Tahoma"/>
          <w:sz w:val="24"/>
        </w:rPr>
      </w:pPr>
    </w:p>
    <w:p w:rsidR="001845AB" w:rsidRDefault="001845AB" w:rsidP="000C70CF">
      <w:pPr>
        <w:jc w:val="both"/>
        <w:rPr>
          <w:rFonts w:asciiTheme="minorHAnsi" w:hAnsiTheme="minorHAnsi" w:cs="Tahoma"/>
          <w:sz w:val="24"/>
        </w:rPr>
      </w:pPr>
    </w:p>
    <w:p w:rsidR="001845AB" w:rsidRDefault="001845AB" w:rsidP="000C70CF">
      <w:pPr>
        <w:jc w:val="both"/>
        <w:rPr>
          <w:rFonts w:asciiTheme="minorHAnsi" w:hAnsiTheme="minorHAnsi" w:cs="Tahoma"/>
          <w:sz w:val="24"/>
        </w:rPr>
      </w:pPr>
    </w:p>
    <w:p w:rsidR="00E74CD2" w:rsidRDefault="00E74CD2" w:rsidP="000C70CF">
      <w:pPr>
        <w:jc w:val="both"/>
        <w:rPr>
          <w:rFonts w:asciiTheme="minorHAnsi" w:hAnsiTheme="minorHAnsi" w:cs="Tahoma"/>
          <w:sz w:val="24"/>
        </w:rPr>
      </w:pPr>
    </w:p>
    <w:p w:rsidR="00B75086" w:rsidRDefault="001845AB" w:rsidP="000C70CF">
      <w:pPr>
        <w:jc w:val="both"/>
        <w:rPr>
          <w:rFonts w:asciiTheme="minorHAnsi" w:hAnsiTheme="minorHAnsi" w:cs="Tahoma"/>
          <w:sz w:val="24"/>
        </w:rPr>
      </w:pPr>
      <w:r w:rsidRPr="001845AB">
        <w:rPr>
          <w:noProof/>
        </w:rPr>
        <w:drawing>
          <wp:inline distT="0" distB="0" distL="0" distR="0" wp14:anchorId="6352773E" wp14:editId="6DB5825A">
            <wp:extent cx="5759450" cy="3369338"/>
            <wp:effectExtent l="0" t="0" r="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6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C6" w:rsidRDefault="00937DC6" w:rsidP="00E74CD2">
      <w:pPr>
        <w:jc w:val="center"/>
        <w:rPr>
          <w:rFonts w:asciiTheme="minorHAnsi" w:hAnsiTheme="minorHAnsi" w:cs="Tahoma"/>
          <w:sz w:val="24"/>
        </w:rPr>
      </w:pPr>
    </w:p>
    <w:p w:rsidR="00937DC6" w:rsidRDefault="00937DC6" w:rsidP="000C70CF">
      <w:pPr>
        <w:jc w:val="both"/>
        <w:rPr>
          <w:rFonts w:asciiTheme="minorHAnsi" w:hAnsiTheme="minorHAnsi" w:cs="Tahoma"/>
          <w:sz w:val="24"/>
        </w:rPr>
      </w:pPr>
    </w:p>
    <w:p w:rsidR="00937DC6" w:rsidRDefault="00937DC6" w:rsidP="000C70CF">
      <w:pPr>
        <w:jc w:val="both"/>
        <w:rPr>
          <w:rFonts w:asciiTheme="minorHAnsi" w:hAnsiTheme="minorHAnsi" w:cs="Tahoma"/>
          <w:sz w:val="24"/>
        </w:rPr>
      </w:pPr>
    </w:p>
    <w:p w:rsidR="00746337" w:rsidRDefault="00746337" w:rsidP="000C70CF">
      <w:pPr>
        <w:jc w:val="both"/>
        <w:rPr>
          <w:rFonts w:asciiTheme="minorHAnsi" w:hAnsiTheme="minorHAnsi" w:cs="Tahoma"/>
          <w:sz w:val="24"/>
        </w:rPr>
      </w:pPr>
    </w:p>
    <w:p w:rsidR="00746337" w:rsidRDefault="00746337" w:rsidP="000C70CF">
      <w:pPr>
        <w:jc w:val="both"/>
        <w:rPr>
          <w:rFonts w:asciiTheme="minorHAnsi" w:hAnsiTheme="minorHAnsi" w:cs="Tahoma"/>
          <w:sz w:val="24"/>
        </w:rPr>
      </w:pPr>
    </w:p>
    <w:p w:rsidR="00B75086" w:rsidRDefault="001845AB" w:rsidP="00E74CD2">
      <w:pPr>
        <w:jc w:val="center"/>
        <w:rPr>
          <w:rFonts w:asciiTheme="minorHAnsi" w:hAnsiTheme="minorHAnsi" w:cs="Tahoma"/>
          <w:sz w:val="24"/>
        </w:rPr>
      </w:pPr>
      <w:r w:rsidRPr="001845AB">
        <w:rPr>
          <w:noProof/>
        </w:rPr>
        <w:lastRenderedPageBreak/>
        <w:drawing>
          <wp:inline distT="0" distB="0" distL="0" distR="0" wp14:anchorId="2C653117" wp14:editId="41191A78">
            <wp:extent cx="6236268" cy="28702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58" cy="287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D2" w:rsidRDefault="00E74CD2" w:rsidP="000C70CF">
      <w:pPr>
        <w:jc w:val="both"/>
        <w:rPr>
          <w:rFonts w:asciiTheme="minorHAnsi" w:hAnsiTheme="minorHAnsi" w:cs="Tahoma"/>
          <w:sz w:val="24"/>
        </w:rPr>
      </w:pPr>
    </w:p>
    <w:p w:rsidR="00E74CD2" w:rsidRDefault="00E74CD2" w:rsidP="000C70CF">
      <w:pPr>
        <w:jc w:val="both"/>
        <w:rPr>
          <w:rFonts w:asciiTheme="minorHAnsi" w:hAnsiTheme="minorHAnsi" w:cs="Tahoma"/>
          <w:sz w:val="24"/>
        </w:rPr>
      </w:pPr>
    </w:p>
    <w:p w:rsidR="001845AB" w:rsidRDefault="001845AB" w:rsidP="000C70CF">
      <w:pPr>
        <w:jc w:val="both"/>
        <w:rPr>
          <w:rFonts w:asciiTheme="minorHAnsi" w:hAnsiTheme="minorHAnsi" w:cs="Tahoma"/>
          <w:sz w:val="24"/>
        </w:rPr>
      </w:pPr>
    </w:p>
    <w:p w:rsidR="001845AB" w:rsidRDefault="001845AB" w:rsidP="000C70CF">
      <w:pPr>
        <w:jc w:val="both"/>
        <w:rPr>
          <w:rFonts w:asciiTheme="minorHAnsi" w:hAnsiTheme="minorHAnsi" w:cs="Tahoma"/>
          <w:sz w:val="24"/>
        </w:rPr>
      </w:pPr>
    </w:p>
    <w:p w:rsidR="00E74CD2" w:rsidRDefault="00951E24" w:rsidP="00E74CD2">
      <w:pPr>
        <w:jc w:val="center"/>
        <w:rPr>
          <w:rFonts w:asciiTheme="minorHAnsi" w:hAnsiTheme="minorHAnsi" w:cs="Tahoma"/>
          <w:sz w:val="24"/>
        </w:rPr>
      </w:pPr>
      <w:bookmarkStart w:id="1" w:name="_GoBack"/>
      <w:r w:rsidRPr="00951E24">
        <w:rPr>
          <w:noProof/>
        </w:rPr>
        <w:drawing>
          <wp:inline distT="0" distB="0" distL="0" distR="0">
            <wp:extent cx="4656984" cy="33813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732" cy="338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74CD2" w:rsidSect="00B07FF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418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8E" w:rsidRDefault="00710E8E">
      <w:r>
        <w:separator/>
      </w:r>
    </w:p>
  </w:endnote>
  <w:endnote w:type="continuationSeparator" w:id="0">
    <w:p w:rsidR="00710E8E" w:rsidRDefault="007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8E" w:rsidRDefault="00710E8E" w:rsidP="00C25F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10E8E" w:rsidRDefault="00710E8E" w:rsidP="005F70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8E" w:rsidRPr="0048329F" w:rsidRDefault="00710E8E" w:rsidP="00C25FD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  <w:szCs w:val="22"/>
      </w:rPr>
    </w:pPr>
    <w:r w:rsidRPr="0048329F">
      <w:rPr>
        <w:rStyle w:val="Numeropagina"/>
        <w:rFonts w:asciiTheme="minorHAnsi" w:hAnsiTheme="minorHAnsi"/>
        <w:szCs w:val="22"/>
      </w:rPr>
      <w:fldChar w:fldCharType="begin"/>
    </w:r>
    <w:r w:rsidRPr="0048329F">
      <w:rPr>
        <w:rStyle w:val="Numeropagina"/>
        <w:rFonts w:asciiTheme="minorHAnsi" w:hAnsiTheme="minorHAnsi"/>
        <w:szCs w:val="22"/>
      </w:rPr>
      <w:instrText xml:space="preserve">PAGE  </w:instrText>
    </w:r>
    <w:r w:rsidRPr="0048329F">
      <w:rPr>
        <w:rStyle w:val="Numeropagina"/>
        <w:rFonts w:asciiTheme="minorHAnsi" w:hAnsiTheme="minorHAnsi"/>
        <w:szCs w:val="22"/>
      </w:rPr>
      <w:fldChar w:fldCharType="separate"/>
    </w:r>
    <w:r w:rsidR="003336E3">
      <w:rPr>
        <w:rStyle w:val="Numeropagina"/>
        <w:rFonts w:asciiTheme="minorHAnsi" w:hAnsiTheme="minorHAnsi"/>
        <w:noProof/>
        <w:szCs w:val="22"/>
      </w:rPr>
      <w:t>8</w:t>
    </w:r>
    <w:r w:rsidRPr="0048329F">
      <w:rPr>
        <w:rStyle w:val="Numeropagina"/>
        <w:rFonts w:asciiTheme="minorHAnsi" w:hAnsiTheme="minorHAnsi"/>
        <w:szCs w:val="22"/>
      </w:rPr>
      <w:fldChar w:fldCharType="end"/>
    </w:r>
  </w:p>
  <w:p w:rsidR="00710E8E" w:rsidRDefault="00710E8E" w:rsidP="005F70D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8E" w:rsidRPr="00302CA6" w:rsidRDefault="00710E8E" w:rsidP="002F2600">
    <w:pPr>
      <w:pStyle w:val="Intestazione"/>
      <w:rPr>
        <w:color w:val="003366"/>
        <w:sz w:val="18"/>
        <w:szCs w:val="18"/>
      </w:rPr>
    </w:pPr>
    <w:r w:rsidRPr="00302CA6">
      <w:rPr>
        <w:rFonts w:ascii="Futura-Book" w:hAnsi="Futura-Book"/>
        <w:bCs/>
        <w:iCs/>
        <w:color w:val="003366"/>
        <w:sz w:val="18"/>
        <w:szCs w:val="18"/>
      </w:rPr>
      <w:t>Associazione Nazionale Fabbricanti Articoli Ottici</w:t>
    </w:r>
  </w:p>
  <w:p w:rsidR="00710E8E" w:rsidRPr="00302CA6" w:rsidRDefault="00710E8E" w:rsidP="002833A0">
    <w:pPr>
      <w:pStyle w:val="Intestazione"/>
      <w:rPr>
        <w:rFonts w:ascii="Futura-Book" w:hAnsi="Futura-Book"/>
        <w:bCs/>
        <w:iCs/>
        <w:color w:val="003366"/>
        <w:sz w:val="18"/>
        <w:szCs w:val="18"/>
      </w:rPr>
    </w:pPr>
    <w:r w:rsidRPr="00302CA6">
      <w:rPr>
        <w:rFonts w:ascii="Futura-Book" w:hAnsi="Futura-Book"/>
        <w:bCs/>
        <w:iCs/>
        <w:color w:val="003366"/>
        <w:sz w:val="18"/>
        <w:szCs w:val="18"/>
      </w:rPr>
      <w:t>2014</w:t>
    </w:r>
    <w:r w:rsidR="009C6430">
      <w:rPr>
        <w:rFonts w:ascii="Futura-Book" w:hAnsi="Futura-Book"/>
        <w:bCs/>
        <w:iCs/>
        <w:color w:val="003366"/>
        <w:sz w:val="18"/>
        <w:szCs w:val="18"/>
      </w:rPr>
      <w:t>5</w:t>
    </w:r>
    <w:r w:rsidRPr="00302CA6">
      <w:rPr>
        <w:rFonts w:ascii="Futura-Book" w:hAnsi="Futura-Book"/>
        <w:bCs/>
        <w:iCs/>
        <w:color w:val="003366"/>
        <w:sz w:val="18"/>
        <w:szCs w:val="18"/>
      </w:rPr>
      <w:t xml:space="preserve"> Milano - Via </w:t>
    </w:r>
    <w:r w:rsidR="009C6430">
      <w:rPr>
        <w:rFonts w:ascii="Futura-Book" w:hAnsi="Futura-Book"/>
        <w:bCs/>
        <w:iCs/>
        <w:color w:val="003366"/>
        <w:sz w:val="18"/>
        <w:szCs w:val="18"/>
      </w:rPr>
      <w:t>A. Riva Villasanta</w:t>
    </w:r>
    <w:r w:rsidRPr="00302CA6">
      <w:rPr>
        <w:rFonts w:ascii="Futura-Book" w:hAnsi="Futura-Book"/>
        <w:bCs/>
        <w:iCs/>
        <w:color w:val="003366"/>
        <w:sz w:val="18"/>
        <w:szCs w:val="18"/>
      </w:rPr>
      <w:t xml:space="preserve">, </w:t>
    </w:r>
    <w:r w:rsidR="009C6430">
      <w:rPr>
        <w:rFonts w:ascii="Futura-Book" w:hAnsi="Futura-Book"/>
        <w:bCs/>
        <w:iCs/>
        <w:color w:val="003366"/>
        <w:sz w:val="18"/>
        <w:szCs w:val="18"/>
      </w:rPr>
      <w:t>3</w:t>
    </w:r>
  </w:p>
  <w:p w:rsidR="00710E8E" w:rsidRPr="00474649" w:rsidRDefault="00710E8E" w:rsidP="002833A0">
    <w:pPr>
      <w:pStyle w:val="Intestazione"/>
      <w:rPr>
        <w:rFonts w:ascii="Futura-Book" w:hAnsi="Futura-Book"/>
        <w:bCs/>
        <w:iCs/>
        <w:color w:val="003366"/>
        <w:sz w:val="18"/>
        <w:szCs w:val="18"/>
        <w:lang w:val="en-US"/>
      </w:rPr>
    </w:pPr>
    <w:r w:rsidRPr="00474649">
      <w:rPr>
        <w:rFonts w:ascii="Futura-Book" w:hAnsi="Futura-Book"/>
        <w:bCs/>
        <w:iCs/>
        <w:color w:val="003366"/>
        <w:sz w:val="18"/>
        <w:szCs w:val="18"/>
        <w:lang w:val="en-US"/>
      </w:rPr>
      <w:t>Tel. 02 32673673 – Fax 02 324233</w:t>
    </w:r>
  </w:p>
  <w:p w:rsidR="00710E8E" w:rsidRPr="00474649" w:rsidRDefault="003336E3" w:rsidP="002833A0">
    <w:pPr>
      <w:pStyle w:val="Intestazione"/>
      <w:rPr>
        <w:color w:val="003366"/>
        <w:sz w:val="18"/>
        <w:szCs w:val="18"/>
        <w:lang w:val="en-US"/>
      </w:rPr>
    </w:pPr>
    <w:hyperlink r:id="rId1" w:history="1">
      <w:r w:rsidR="00710E8E" w:rsidRPr="00474649">
        <w:rPr>
          <w:rStyle w:val="Collegamentoipertestuale"/>
          <w:rFonts w:ascii="Futura-Book" w:hAnsi="Futura-Book"/>
          <w:bCs/>
          <w:iCs/>
          <w:color w:val="003366"/>
          <w:sz w:val="18"/>
          <w:szCs w:val="18"/>
          <w:lang w:val="en-US"/>
        </w:rPr>
        <w:t>www.anfao.it</w:t>
      </w:r>
    </w:hyperlink>
    <w:r w:rsidR="00710E8E" w:rsidRPr="00474649">
      <w:rPr>
        <w:rFonts w:ascii="Futura-Book" w:hAnsi="Futura-Book"/>
        <w:bCs/>
        <w:iCs/>
        <w:color w:val="003366"/>
        <w:sz w:val="18"/>
        <w:szCs w:val="18"/>
        <w:lang w:val="en-US"/>
      </w:rPr>
      <w:t xml:space="preserve"> info@anfao.it</w:t>
    </w:r>
  </w:p>
  <w:p w:rsidR="00710E8E" w:rsidRPr="00302CA6" w:rsidRDefault="00710E8E" w:rsidP="002833A0">
    <w:pPr>
      <w:pStyle w:val="Pidipagina"/>
      <w:rPr>
        <w:color w:val="003366"/>
        <w:sz w:val="16"/>
        <w:szCs w:val="16"/>
      </w:rPr>
    </w:pPr>
    <w:r w:rsidRPr="00302CA6">
      <w:rPr>
        <w:rFonts w:ascii="Futura-Book" w:hAnsi="Futura-Book"/>
        <w:bCs/>
        <w:iCs/>
        <w:color w:val="003366"/>
        <w:sz w:val="18"/>
        <w:szCs w:val="18"/>
      </w:rPr>
      <w:t>Codice Fiscale 03331510150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8E" w:rsidRDefault="00710E8E">
      <w:r>
        <w:separator/>
      </w:r>
    </w:p>
  </w:footnote>
  <w:footnote w:type="continuationSeparator" w:id="0">
    <w:p w:rsidR="00710E8E" w:rsidRDefault="0071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8E" w:rsidRPr="00EC4B7A" w:rsidRDefault="00710E8E">
    <w:pPr>
      <w:pStyle w:val="Intestazione"/>
      <w:rPr>
        <w:sz w:val="16"/>
        <w:szCs w:val="16"/>
      </w:rPr>
    </w:pPr>
  </w:p>
  <w:p w:rsidR="00710E8E" w:rsidRPr="00EC4B7A" w:rsidRDefault="00710E8E">
    <w:pPr>
      <w:pStyle w:val="Intestazione"/>
      <w:rPr>
        <w:rFonts w:ascii="Futura-Book" w:hAnsi="Futura-Book"/>
        <w:b/>
        <w:bCs/>
        <w:iCs/>
        <w:color w:val="2323AF"/>
        <w:sz w:val="16"/>
        <w:szCs w:val="16"/>
      </w:rPr>
    </w:pPr>
  </w:p>
  <w:p w:rsidR="00710E8E" w:rsidRPr="00F816CB" w:rsidRDefault="00710E8E">
    <w:pPr>
      <w:pStyle w:val="Intestazione"/>
      <w:rPr>
        <w:rFonts w:ascii="Futura-Book" w:hAnsi="Futura-Book"/>
        <w:b/>
        <w:bCs/>
        <w:iCs/>
        <w:color w:val="2323AF"/>
        <w:sz w:val="14"/>
        <w:szCs w:val="14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536B43EE" wp14:editId="5519D71A">
          <wp:simplePos x="0" y="0"/>
          <wp:positionH relativeFrom="column">
            <wp:posOffset>-533400</wp:posOffset>
          </wp:positionH>
          <wp:positionV relativeFrom="paragraph">
            <wp:posOffset>89535</wp:posOffset>
          </wp:positionV>
          <wp:extent cx="457200" cy="457200"/>
          <wp:effectExtent l="0" t="0" r="0" b="0"/>
          <wp:wrapNone/>
          <wp:docPr id="4" name="Immagine 4" descr="http://www.confindustria.it/Conf2004/dbdocPriv2004.nsf/3FAD59D606881C84C1256F6A0060B533/$File/M_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findustria.it/Conf2004/dbdocPriv2004.nsf/3FAD59D606881C84C1256F6A0060B533/$File/M_28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E8E" w:rsidRPr="00EC4B7A" w:rsidRDefault="00710E8E">
    <w:pPr>
      <w:pStyle w:val="Intestazione"/>
      <w:rPr>
        <w:rFonts w:ascii="Futura-Book" w:hAnsi="Futura-Book"/>
        <w:b/>
        <w:bCs/>
        <w:iCs/>
        <w:color w:val="2323AF"/>
        <w:sz w:val="16"/>
        <w:szCs w:val="16"/>
      </w:rPr>
    </w:pPr>
  </w:p>
  <w:p w:rsidR="00710E8E" w:rsidRDefault="00710E8E">
    <w:pPr>
      <w:pStyle w:val="Intestazione"/>
      <w:rPr>
        <w:rFonts w:ascii="Futura-Book" w:hAnsi="Futura-Book"/>
        <w:b/>
        <w:bCs/>
        <w:iCs/>
        <w:color w:val="006699"/>
        <w:szCs w:val="22"/>
      </w:rPr>
    </w:pPr>
  </w:p>
  <w:p w:rsidR="00710E8E" w:rsidRPr="00263A99" w:rsidRDefault="00710E8E">
    <w:pPr>
      <w:pStyle w:val="Intestazione"/>
      <w:rPr>
        <w:rFonts w:ascii="Futura-Book" w:hAnsi="Futura-Book"/>
        <w:bCs/>
        <w:iCs/>
        <w:color w:val="003366"/>
        <w:sz w:val="28"/>
        <w:szCs w:val="28"/>
      </w:rPr>
    </w:pPr>
    <w:r w:rsidRPr="00263A99">
      <w:rPr>
        <w:rFonts w:ascii="Futura-Book" w:hAnsi="Futura-Book"/>
        <w:bCs/>
        <w:iCs/>
        <w:color w:val="003366"/>
        <w:sz w:val="28"/>
        <w:szCs w:val="28"/>
      </w:rPr>
      <w:t>ANFAO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E2769"/>
    <w:multiLevelType w:val="hybridMultilevel"/>
    <w:tmpl w:val="306AAF0C"/>
    <w:lvl w:ilvl="0" w:tplc="C7BE8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202"/>
    <w:multiLevelType w:val="hybridMultilevel"/>
    <w:tmpl w:val="AEEC1654"/>
    <w:lvl w:ilvl="0" w:tplc="7318CD1E">
      <w:numFmt w:val="bullet"/>
      <w:lvlText w:val="-"/>
      <w:lvlJc w:val="left"/>
      <w:pPr>
        <w:ind w:left="587" w:hanging="360"/>
      </w:pPr>
      <w:rPr>
        <w:rFonts w:ascii="Verdana" w:eastAsia="Times New Roman" w:hAnsi="Verdan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3E377C13"/>
    <w:multiLevelType w:val="hybridMultilevel"/>
    <w:tmpl w:val="A10E2CD6"/>
    <w:lvl w:ilvl="0" w:tplc="5C42E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578D8"/>
    <w:multiLevelType w:val="hybridMultilevel"/>
    <w:tmpl w:val="7B4ED2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B9035F"/>
    <w:multiLevelType w:val="hybridMultilevel"/>
    <w:tmpl w:val="2472A76A"/>
    <w:lvl w:ilvl="0" w:tplc="AFD4C54C">
      <w:start w:val="1"/>
      <w:numFmt w:val="bullet"/>
      <w:lvlText w:val=""/>
      <w:lvlJc w:val="left"/>
      <w:pPr>
        <w:tabs>
          <w:tab w:val="num" w:pos="113"/>
        </w:tabs>
        <w:ind w:left="170" w:firstLine="5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6162"/>
    <w:multiLevelType w:val="hybridMultilevel"/>
    <w:tmpl w:val="59E88FD4"/>
    <w:lvl w:ilvl="0" w:tplc="AFD4C54C">
      <w:start w:val="1"/>
      <w:numFmt w:val="bullet"/>
      <w:lvlText w:val=""/>
      <w:lvlJc w:val="left"/>
      <w:pPr>
        <w:tabs>
          <w:tab w:val="num" w:pos="113"/>
        </w:tabs>
        <w:ind w:left="170" w:firstLine="57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77587"/>
    <w:multiLevelType w:val="hybridMultilevel"/>
    <w:tmpl w:val="36AA5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7A"/>
    <w:rsid w:val="000011DC"/>
    <w:rsid w:val="00003B8A"/>
    <w:rsid w:val="0000504E"/>
    <w:rsid w:val="00006E14"/>
    <w:rsid w:val="00007A09"/>
    <w:rsid w:val="00007F53"/>
    <w:rsid w:val="00011A7D"/>
    <w:rsid w:val="00015F15"/>
    <w:rsid w:val="00020092"/>
    <w:rsid w:val="00034E18"/>
    <w:rsid w:val="00045714"/>
    <w:rsid w:val="000457B3"/>
    <w:rsid w:val="000476EA"/>
    <w:rsid w:val="00054821"/>
    <w:rsid w:val="00055C3B"/>
    <w:rsid w:val="00056D5F"/>
    <w:rsid w:val="0005724A"/>
    <w:rsid w:val="000576FA"/>
    <w:rsid w:val="0006050F"/>
    <w:rsid w:val="00061F95"/>
    <w:rsid w:val="00064AE0"/>
    <w:rsid w:val="00066086"/>
    <w:rsid w:val="000768E8"/>
    <w:rsid w:val="00077BA9"/>
    <w:rsid w:val="00077CF4"/>
    <w:rsid w:val="00080713"/>
    <w:rsid w:val="00092276"/>
    <w:rsid w:val="000935E5"/>
    <w:rsid w:val="0009464D"/>
    <w:rsid w:val="000946A2"/>
    <w:rsid w:val="00095AB4"/>
    <w:rsid w:val="000970F9"/>
    <w:rsid w:val="000A0D60"/>
    <w:rsid w:val="000A27D8"/>
    <w:rsid w:val="000A3A5F"/>
    <w:rsid w:val="000B13BE"/>
    <w:rsid w:val="000B1B43"/>
    <w:rsid w:val="000B3F69"/>
    <w:rsid w:val="000B4EE7"/>
    <w:rsid w:val="000B7DC5"/>
    <w:rsid w:val="000C3E7B"/>
    <w:rsid w:val="000C46D9"/>
    <w:rsid w:val="000C497C"/>
    <w:rsid w:val="000C577E"/>
    <w:rsid w:val="000C6A00"/>
    <w:rsid w:val="000C70CF"/>
    <w:rsid w:val="000D487B"/>
    <w:rsid w:val="000F1CB0"/>
    <w:rsid w:val="000F20B1"/>
    <w:rsid w:val="00102CB7"/>
    <w:rsid w:val="00103741"/>
    <w:rsid w:val="00104091"/>
    <w:rsid w:val="0010697C"/>
    <w:rsid w:val="001076BB"/>
    <w:rsid w:val="00107C71"/>
    <w:rsid w:val="0011214A"/>
    <w:rsid w:val="0011447B"/>
    <w:rsid w:val="00116E6B"/>
    <w:rsid w:val="0012006F"/>
    <w:rsid w:val="00121DCB"/>
    <w:rsid w:val="001244E8"/>
    <w:rsid w:val="00127C31"/>
    <w:rsid w:val="00133A0C"/>
    <w:rsid w:val="001349AE"/>
    <w:rsid w:val="001444C2"/>
    <w:rsid w:val="001444CE"/>
    <w:rsid w:val="00146D10"/>
    <w:rsid w:val="00147D71"/>
    <w:rsid w:val="00155DE2"/>
    <w:rsid w:val="00156724"/>
    <w:rsid w:val="00157268"/>
    <w:rsid w:val="00157EAB"/>
    <w:rsid w:val="00160133"/>
    <w:rsid w:val="00163B2D"/>
    <w:rsid w:val="001719F2"/>
    <w:rsid w:val="001752C6"/>
    <w:rsid w:val="00175471"/>
    <w:rsid w:val="00177305"/>
    <w:rsid w:val="0018011F"/>
    <w:rsid w:val="001832DC"/>
    <w:rsid w:val="00183726"/>
    <w:rsid w:val="00183C1A"/>
    <w:rsid w:val="001845AB"/>
    <w:rsid w:val="00184A85"/>
    <w:rsid w:val="00184C1F"/>
    <w:rsid w:val="00187A9A"/>
    <w:rsid w:val="00192469"/>
    <w:rsid w:val="001A294E"/>
    <w:rsid w:val="001A5100"/>
    <w:rsid w:val="001A7CFC"/>
    <w:rsid w:val="001A7F91"/>
    <w:rsid w:val="001B26FF"/>
    <w:rsid w:val="001B694F"/>
    <w:rsid w:val="001C17BC"/>
    <w:rsid w:val="001C54A7"/>
    <w:rsid w:val="001C71FC"/>
    <w:rsid w:val="001D0A41"/>
    <w:rsid w:val="001D0EB8"/>
    <w:rsid w:val="001D241A"/>
    <w:rsid w:val="001D40D2"/>
    <w:rsid w:val="001D4AAA"/>
    <w:rsid w:val="001E091D"/>
    <w:rsid w:val="001E1F10"/>
    <w:rsid w:val="001E52AF"/>
    <w:rsid w:val="001E5F7F"/>
    <w:rsid w:val="001F09B4"/>
    <w:rsid w:val="001F30AC"/>
    <w:rsid w:val="001F36CA"/>
    <w:rsid w:val="001F372D"/>
    <w:rsid w:val="001F53D0"/>
    <w:rsid w:val="00204436"/>
    <w:rsid w:val="0020501C"/>
    <w:rsid w:val="002101C9"/>
    <w:rsid w:val="00212540"/>
    <w:rsid w:val="00220190"/>
    <w:rsid w:val="0022533C"/>
    <w:rsid w:val="0022777E"/>
    <w:rsid w:val="00235AD3"/>
    <w:rsid w:val="00235D16"/>
    <w:rsid w:val="00236DDC"/>
    <w:rsid w:val="00244A0F"/>
    <w:rsid w:val="00245116"/>
    <w:rsid w:val="00245E45"/>
    <w:rsid w:val="00250A79"/>
    <w:rsid w:val="00255D0E"/>
    <w:rsid w:val="00257370"/>
    <w:rsid w:val="0026026A"/>
    <w:rsid w:val="002630CD"/>
    <w:rsid w:val="00263A99"/>
    <w:rsid w:val="002753EF"/>
    <w:rsid w:val="00277CBF"/>
    <w:rsid w:val="00277EAD"/>
    <w:rsid w:val="002833A0"/>
    <w:rsid w:val="0028685D"/>
    <w:rsid w:val="00286878"/>
    <w:rsid w:val="00286EAE"/>
    <w:rsid w:val="002901A2"/>
    <w:rsid w:val="0029024B"/>
    <w:rsid w:val="00291FAA"/>
    <w:rsid w:val="00292E4B"/>
    <w:rsid w:val="00293EAE"/>
    <w:rsid w:val="00295C5A"/>
    <w:rsid w:val="002972DE"/>
    <w:rsid w:val="00297793"/>
    <w:rsid w:val="002A39C8"/>
    <w:rsid w:val="002A5D20"/>
    <w:rsid w:val="002A6055"/>
    <w:rsid w:val="002B0099"/>
    <w:rsid w:val="002B1F9C"/>
    <w:rsid w:val="002B4173"/>
    <w:rsid w:val="002B44AC"/>
    <w:rsid w:val="002B52C9"/>
    <w:rsid w:val="002B769B"/>
    <w:rsid w:val="002C2D88"/>
    <w:rsid w:val="002C3664"/>
    <w:rsid w:val="002C6DE8"/>
    <w:rsid w:val="002C7416"/>
    <w:rsid w:val="002D0F4A"/>
    <w:rsid w:val="002D2E14"/>
    <w:rsid w:val="002D30CF"/>
    <w:rsid w:val="002D5E67"/>
    <w:rsid w:val="002E2931"/>
    <w:rsid w:val="002E2C7B"/>
    <w:rsid w:val="002E3E5D"/>
    <w:rsid w:val="002F2245"/>
    <w:rsid w:val="002F2600"/>
    <w:rsid w:val="002F419B"/>
    <w:rsid w:val="002F5332"/>
    <w:rsid w:val="002F5774"/>
    <w:rsid w:val="002F6BD4"/>
    <w:rsid w:val="002F7F0B"/>
    <w:rsid w:val="00301AA6"/>
    <w:rsid w:val="00301BAD"/>
    <w:rsid w:val="00301EFF"/>
    <w:rsid w:val="0030220A"/>
    <w:rsid w:val="00302CA6"/>
    <w:rsid w:val="00304E6B"/>
    <w:rsid w:val="00305AA2"/>
    <w:rsid w:val="00311E2B"/>
    <w:rsid w:val="0031698E"/>
    <w:rsid w:val="00316F10"/>
    <w:rsid w:val="00317FDA"/>
    <w:rsid w:val="00320F07"/>
    <w:rsid w:val="00321143"/>
    <w:rsid w:val="0032237E"/>
    <w:rsid w:val="0032580A"/>
    <w:rsid w:val="003263A2"/>
    <w:rsid w:val="0033098D"/>
    <w:rsid w:val="003336E3"/>
    <w:rsid w:val="00333837"/>
    <w:rsid w:val="0033682F"/>
    <w:rsid w:val="0034107E"/>
    <w:rsid w:val="003447D0"/>
    <w:rsid w:val="003471E6"/>
    <w:rsid w:val="00356905"/>
    <w:rsid w:val="00362BA3"/>
    <w:rsid w:val="003634AC"/>
    <w:rsid w:val="00363A96"/>
    <w:rsid w:val="00372D68"/>
    <w:rsid w:val="00373913"/>
    <w:rsid w:val="00381561"/>
    <w:rsid w:val="00384D66"/>
    <w:rsid w:val="003904CA"/>
    <w:rsid w:val="003946A9"/>
    <w:rsid w:val="0039781B"/>
    <w:rsid w:val="00397B5A"/>
    <w:rsid w:val="00397BEE"/>
    <w:rsid w:val="003A02E3"/>
    <w:rsid w:val="003A2077"/>
    <w:rsid w:val="003A2085"/>
    <w:rsid w:val="003A50A8"/>
    <w:rsid w:val="003A5B62"/>
    <w:rsid w:val="003A6417"/>
    <w:rsid w:val="003A762F"/>
    <w:rsid w:val="003B1E8D"/>
    <w:rsid w:val="003B259C"/>
    <w:rsid w:val="003B3148"/>
    <w:rsid w:val="003B5517"/>
    <w:rsid w:val="003B5D13"/>
    <w:rsid w:val="003B6FF2"/>
    <w:rsid w:val="003C3737"/>
    <w:rsid w:val="003C5879"/>
    <w:rsid w:val="003D0817"/>
    <w:rsid w:val="003D09F6"/>
    <w:rsid w:val="003D2317"/>
    <w:rsid w:val="003D5715"/>
    <w:rsid w:val="003D6011"/>
    <w:rsid w:val="003E2A48"/>
    <w:rsid w:val="003E6BEA"/>
    <w:rsid w:val="003E6D2B"/>
    <w:rsid w:val="003F0482"/>
    <w:rsid w:val="003F1C65"/>
    <w:rsid w:val="00402466"/>
    <w:rsid w:val="00402788"/>
    <w:rsid w:val="00402839"/>
    <w:rsid w:val="0040457B"/>
    <w:rsid w:val="004058C2"/>
    <w:rsid w:val="00410D2E"/>
    <w:rsid w:val="00415C60"/>
    <w:rsid w:val="00417602"/>
    <w:rsid w:val="00427F6A"/>
    <w:rsid w:val="004314B9"/>
    <w:rsid w:val="0043369A"/>
    <w:rsid w:val="00435465"/>
    <w:rsid w:val="004366D7"/>
    <w:rsid w:val="004406AB"/>
    <w:rsid w:val="004418C7"/>
    <w:rsid w:val="004445F3"/>
    <w:rsid w:val="0044469D"/>
    <w:rsid w:val="004455D0"/>
    <w:rsid w:val="00446556"/>
    <w:rsid w:val="004539C5"/>
    <w:rsid w:val="00456005"/>
    <w:rsid w:val="00461B71"/>
    <w:rsid w:val="00463515"/>
    <w:rsid w:val="004646D4"/>
    <w:rsid w:val="00464CFE"/>
    <w:rsid w:val="0046553C"/>
    <w:rsid w:val="004661FF"/>
    <w:rsid w:val="0046770B"/>
    <w:rsid w:val="0046785C"/>
    <w:rsid w:val="00467CEA"/>
    <w:rsid w:val="0047183A"/>
    <w:rsid w:val="00472629"/>
    <w:rsid w:val="00474649"/>
    <w:rsid w:val="00474D75"/>
    <w:rsid w:val="00475ACA"/>
    <w:rsid w:val="00476A8F"/>
    <w:rsid w:val="00481CCE"/>
    <w:rsid w:val="00481EA6"/>
    <w:rsid w:val="00482E4D"/>
    <w:rsid w:val="0048329F"/>
    <w:rsid w:val="00483F15"/>
    <w:rsid w:val="00484277"/>
    <w:rsid w:val="00487D12"/>
    <w:rsid w:val="0049001B"/>
    <w:rsid w:val="00493A6A"/>
    <w:rsid w:val="00493AB5"/>
    <w:rsid w:val="00495361"/>
    <w:rsid w:val="00497D8F"/>
    <w:rsid w:val="004A3638"/>
    <w:rsid w:val="004A4407"/>
    <w:rsid w:val="004A596E"/>
    <w:rsid w:val="004A5B61"/>
    <w:rsid w:val="004A6D33"/>
    <w:rsid w:val="004B18A8"/>
    <w:rsid w:val="004B21A3"/>
    <w:rsid w:val="004B32DC"/>
    <w:rsid w:val="004C1B1E"/>
    <w:rsid w:val="004C24C3"/>
    <w:rsid w:val="004D1EBD"/>
    <w:rsid w:val="004D23DC"/>
    <w:rsid w:val="004D5EFA"/>
    <w:rsid w:val="004D6E32"/>
    <w:rsid w:val="004D745E"/>
    <w:rsid w:val="004D7B2F"/>
    <w:rsid w:val="004E126F"/>
    <w:rsid w:val="004E366A"/>
    <w:rsid w:val="004F5143"/>
    <w:rsid w:val="004F6A5A"/>
    <w:rsid w:val="00500044"/>
    <w:rsid w:val="00500475"/>
    <w:rsid w:val="00503FEF"/>
    <w:rsid w:val="005066F7"/>
    <w:rsid w:val="00507CF7"/>
    <w:rsid w:val="005122E8"/>
    <w:rsid w:val="0051298F"/>
    <w:rsid w:val="0051583D"/>
    <w:rsid w:val="00515DD8"/>
    <w:rsid w:val="00522F2A"/>
    <w:rsid w:val="00523E22"/>
    <w:rsid w:val="00524593"/>
    <w:rsid w:val="00526E6F"/>
    <w:rsid w:val="005324EA"/>
    <w:rsid w:val="00533807"/>
    <w:rsid w:val="00533B11"/>
    <w:rsid w:val="005341B1"/>
    <w:rsid w:val="0053576F"/>
    <w:rsid w:val="00540F34"/>
    <w:rsid w:val="00542A5A"/>
    <w:rsid w:val="00542CBD"/>
    <w:rsid w:val="005464E5"/>
    <w:rsid w:val="00547846"/>
    <w:rsid w:val="005504CE"/>
    <w:rsid w:val="00554324"/>
    <w:rsid w:val="00554F5F"/>
    <w:rsid w:val="00556128"/>
    <w:rsid w:val="00560E57"/>
    <w:rsid w:val="005616D9"/>
    <w:rsid w:val="00563C24"/>
    <w:rsid w:val="005641EC"/>
    <w:rsid w:val="00564B20"/>
    <w:rsid w:val="00564FE4"/>
    <w:rsid w:val="005650AF"/>
    <w:rsid w:val="00566270"/>
    <w:rsid w:val="00572449"/>
    <w:rsid w:val="00573AFE"/>
    <w:rsid w:val="00574BAD"/>
    <w:rsid w:val="0057515D"/>
    <w:rsid w:val="00576CE2"/>
    <w:rsid w:val="00576F66"/>
    <w:rsid w:val="00576F79"/>
    <w:rsid w:val="0058136F"/>
    <w:rsid w:val="00581FB4"/>
    <w:rsid w:val="005845B1"/>
    <w:rsid w:val="0058666E"/>
    <w:rsid w:val="00586FC0"/>
    <w:rsid w:val="00586FF2"/>
    <w:rsid w:val="00587690"/>
    <w:rsid w:val="005931AF"/>
    <w:rsid w:val="00593E94"/>
    <w:rsid w:val="005A0494"/>
    <w:rsid w:val="005A2B50"/>
    <w:rsid w:val="005A3F24"/>
    <w:rsid w:val="005A4B73"/>
    <w:rsid w:val="005B085E"/>
    <w:rsid w:val="005B1521"/>
    <w:rsid w:val="005C0FDC"/>
    <w:rsid w:val="005C1F11"/>
    <w:rsid w:val="005C3F5F"/>
    <w:rsid w:val="005C4A1F"/>
    <w:rsid w:val="005C4FE3"/>
    <w:rsid w:val="005C788E"/>
    <w:rsid w:val="005E295C"/>
    <w:rsid w:val="005E4F51"/>
    <w:rsid w:val="005E53A3"/>
    <w:rsid w:val="005F42ED"/>
    <w:rsid w:val="005F4724"/>
    <w:rsid w:val="005F482A"/>
    <w:rsid w:val="005F4C7C"/>
    <w:rsid w:val="005F70D3"/>
    <w:rsid w:val="0060099A"/>
    <w:rsid w:val="00604181"/>
    <w:rsid w:val="00605738"/>
    <w:rsid w:val="00610A85"/>
    <w:rsid w:val="00612A7A"/>
    <w:rsid w:val="0062117E"/>
    <w:rsid w:val="006213DB"/>
    <w:rsid w:val="00623801"/>
    <w:rsid w:val="0062483D"/>
    <w:rsid w:val="006254F3"/>
    <w:rsid w:val="00631991"/>
    <w:rsid w:val="00636A7D"/>
    <w:rsid w:val="00636E1F"/>
    <w:rsid w:val="0064165F"/>
    <w:rsid w:val="006436D5"/>
    <w:rsid w:val="00650247"/>
    <w:rsid w:val="00652D58"/>
    <w:rsid w:val="00653F3D"/>
    <w:rsid w:val="0065404F"/>
    <w:rsid w:val="00660D5A"/>
    <w:rsid w:val="00662B31"/>
    <w:rsid w:val="00664690"/>
    <w:rsid w:val="00664F1D"/>
    <w:rsid w:val="006702B5"/>
    <w:rsid w:val="0067093E"/>
    <w:rsid w:val="00675D7C"/>
    <w:rsid w:val="00676E5F"/>
    <w:rsid w:val="006863E1"/>
    <w:rsid w:val="006910E1"/>
    <w:rsid w:val="006925EB"/>
    <w:rsid w:val="0069288E"/>
    <w:rsid w:val="0069658F"/>
    <w:rsid w:val="006A0B47"/>
    <w:rsid w:val="006A296A"/>
    <w:rsid w:val="006A7A4D"/>
    <w:rsid w:val="006B0690"/>
    <w:rsid w:val="006B28D4"/>
    <w:rsid w:val="006B4DAC"/>
    <w:rsid w:val="006B5404"/>
    <w:rsid w:val="006B591C"/>
    <w:rsid w:val="006C1466"/>
    <w:rsid w:val="006C20C2"/>
    <w:rsid w:val="006C2B2E"/>
    <w:rsid w:val="006C2FD3"/>
    <w:rsid w:val="006C3435"/>
    <w:rsid w:val="006C3DE5"/>
    <w:rsid w:val="006D3039"/>
    <w:rsid w:val="006D5C3F"/>
    <w:rsid w:val="006D7396"/>
    <w:rsid w:val="006D771B"/>
    <w:rsid w:val="006E0867"/>
    <w:rsid w:val="006E1864"/>
    <w:rsid w:val="006E1A4D"/>
    <w:rsid w:val="006E3A56"/>
    <w:rsid w:val="006E6934"/>
    <w:rsid w:val="006E6C69"/>
    <w:rsid w:val="006F1013"/>
    <w:rsid w:val="006F2B92"/>
    <w:rsid w:val="006F6CE4"/>
    <w:rsid w:val="00701BC7"/>
    <w:rsid w:val="00702022"/>
    <w:rsid w:val="00703CEF"/>
    <w:rsid w:val="00704CFC"/>
    <w:rsid w:val="007101A5"/>
    <w:rsid w:val="00710E8E"/>
    <w:rsid w:val="007116B0"/>
    <w:rsid w:val="007146A1"/>
    <w:rsid w:val="007168D7"/>
    <w:rsid w:val="00716BC9"/>
    <w:rsid w:val="00720338"/>
    <w:rsid w:val="0072125E"/>
    <w:rsid w:val="00725252"/>
    <w:rsid w:val="00731A3C"/>
    <w:rsid w:val="0073292B"/>
    <w:rsid w:val="00732ECF"/>
    <w:rsid w:val="007339C5"/>
    <w:rsid w:val="0074375C"/>
    <w:rsid w:val="00744402"/>
    <w:rsid w:val="00745F34"/>
    <w:rsid w:val="00746337"/>
    <w:rsid w:val="007470C3"/>
    <w:rsid w:val="007509A5"/>
    <w:rsid w:val="007510F3"/>
    <w:rsid w:val="007550A7"/>
    <w:rsid w:val="00762668"/>
    <w:rsid w:val="00766CF4"/>
    <w:rsid w:val="00770159"/>
    <w:rsid w:val="00770697"/>
    <w:rsid w:val="00772815"/>
    <w:rsid w:val="00773CA3"/>
    <w:rsid w:val="00773F10"/>
    <w:rsid w:val="00774371"/>
    <w:rsid w:val="007748A8"/>
    <w:rsid w:val="00783EEB"/>
    <w:rsid w:val="00785BBA"/>
    <w:rsid w:val="00785D06"/>
    <w:rsid w:val="00797DB8"/>
    <w:rsid w:val="007A0D6B"/>
    <w:rsid w:val="007A0EEF"/>
    <w:rsid w:val="007A1422"/>
    <w:rsid w:val="007A2664"/>
    <w:rsid w:val="007A5E41"/>
    <w:rsid w:val="007A667E"/>
    <w:rsid w:val="007B0086"/>
    <w:rsid w:val="007B35B0"/>
    <w:rsid w:val="007C06B9"/>
    <w:rsid w:val="007C2F51"/>
    <w:rsid w:val="007C487E"/>
    <w:rsid w:val="007C55A2"/>
    <w:rsid w:val="007C6113"/>
    <w:rsid w:val="007C69E8"/>
    <w:rsid w:val="007D033B"/>
    <w:rsid w:val="007D10D0"/>
    <w:rsid w:val="007D510F"/>
    <w:rsid w:val="007D5C6A"/>
    <w:rsid w:val="007D6319"/>
    <w:rsid w:val="007D6331"/>
    <w:rsid w:val="007D737E"/>
    <w:rsid w:val="007E0226"/>
    <w:rsid w:val="007E0B2B"/>
    <w:rsid w:val="007E2AB1"/>
    <w:rsid w:val="007E3593"/>
    <w:rsid w:val="007F564A"/>
    <w:rsid w:val="007F769C"/>
    <w:rsid w:val="007F7C45"/>
    <w:rsid w:val="00800469"/>
    <w:rsid w:val="00801623"/>
    <w:rsid w:val="00801935"/>
    <w:rsid w:val="00802CA1"/>
    <w:rsid w:val="00805F2A"/>
    <w:rsid w:val="008076B0"/>
    <w:rsid w:val="00811EE4"/>
    <w:rsid w:val="00815007"/>
    <w:rsid w:val="008179C7"/>
    <w:rsid w:val="008247F1"/>
    <w:rsid w:val="0083001A"/>
    <w:rsid w:val="0083161E"/>
    <w:rsid w:val="00833FEC"/>
    <w:rsid w:val="00835249"/>
    <w:rsid w:val="00836B43"/>
    <w:rsid w:val="00840A78"/>
    <w:rsid w:val="00840FB7"/>
    <w:rsid w:val="00841453"/>
    <w:rsid w:val="0084221F"/>
    <w:rsid w:val="0084536D"/>
    <w:rsid w:val="008518F0"/>
    <w:rsid w:val="00852E5E"/>
    <w:rsid w:val="008547DB"/>
    <w:rsid w:val="00854B72"/>
    <w:rsid w:val="0085790A"/>
    <w:rsid w:val="00860919"/>
    <w:rsid w:val="0086146D"/>
    <w:rsid w:val="00862152"/>
    <w:rsid w:val="0086550A"/>
    <w:rsid w:val="00865D5D"/>
    <w:rsid w:val="00866FAA"/>
    <w:rsid w:val="00867B31"/>
    <w:rsid w:val="00870149"/>
    <w:rsid w:val="00870320"/>
    <w:rsid w:val="00870903"/>
    <w:rsid w:val="00870CCB"/>
    <w:rsid w:val="00874F3F"/>
    <w:rsid w:val="00881147"/>
    <w:rsid w:val="00882324"/>
    <w:rsid w:val="00886851"/>
    <w:rsid w:val="00895072"/>
    <w:rsid w:val="00897116"/>
    <w:rsid w:val="008A17A7"/>
    <w:rsid w:val="008A196C"/>
    <w:rsid w:val="008A56E3"/>
    <w:rsid w:val="008A5784"/>
    <w:rsid w:val="008B2E02"/>
    <w:rsid w:val="008B3CFC"/>
    <w:rsid w:val="008B65B3"/>
    <w:rsid w:val="008C0A0A"/>
    <w:rsid w:val="008C1B87"/>
    <w:rsid w:val="008C1BFB"/>
    <w:rsid w:val="008C4469"/>
    <w:rsid w:val="008C5B8F"/>
    <w:rsid w:val="008C62B6"/>
    <w:rsid w:val="008D32A0"/>
    <w:rsid w:val="008D447C"/>
    <w:rsid w:val="008D5696"/>
    <w:rsid w:val="008D6DA8"/>
    <w:rsid w:val="008E3238"/>
    <w:rsid w:val="008F07D4"/>
    <w:rsid w:val="008F0EC2"/>
    <w:rsid w:val="008F17FA"/>
    <w:rsid w:val="008F7564"/>
    <w:rsid w:val="009008F3"/>
    <w:rsid w:val="00902E5F"/>
    <w:rsid w:val="0090301A"/>
    <w:rsid w:val="0091073F"/>
    <w:rsid w:val="00911634"/>
    <w:rsid w:val="00913910"/>
    <w:rsid w:val="00915457"/>
    <w:rsid w:val="009169CE"/>
    <w:rsid w:val="00922F1C"/>
    <w:rsid w:val="00924463"/>
    <w:rsid w:val="00925C4C"/>
    <w:rsid w:val="009313B5"/>
    <w:rsid w:val="00931A4B"/>
    <w:rsid w:val="009323C3"/>
    <w:rsid w:val="009374C8"/>
    <w:rsid w:val="00937DC6"/>
    <w:rsid w:val="00940460"/>
    <w:rsid w:val="00942C8A"/>
    <w:rsid w:val="00943FC4"/>
    <w:rsid w:val="009458F2"/>
    <w:rsid w:val="00950D57"/>
    <w:rsid w:val="00951E24"/>
    <w:rsid w:val="00951E60"/>
    <w:rsid w:val="009545D8"/>
    <w:rsid w:val="00956504"/>
    <w:rsid w:val="00956DC1"/>
    <w:rsid w:val="009603FD"/>
    <w:rsid w:val="009608CD"/>
    <w:rsid w:val="00960EAF"/>
    <w:rsid w:val="009613DB"/>
    <w:rsid w:val="009645F7"/>
    <w:rsid w:val="009648E5"/>
    <w:rsid w:val="00965FBD"/>
    <w:rsid w:val="00971F19"/>
    <w:rsid w:val="00972F8A"/>
    <w:rsid w:val="0097308F"/>
    <w:rsid w:val="00973A0B"/>
    <w:rsid w:val="00974057"/>
    <w:rsid w:val="009803B2"/>
    <w:rsid w:val="0098179C"/>
    <w:rsid w:val="00982287"/>
    <w:rsid w:val="00984EAB"/>
    <w:rsid w:val="00985831"/>
    <w:rsid w:val="00985B30"/>
    <w:rsid w:val="0098611D"/>
    <w:rsid w:val="00987C4A"/>
    <w:rsid w:val="00991859"/>
    <w:rsid w:val="00991912"/>
    <w:rsid w:val="009966DD"/>
    <w:rsid w:val="009A0309"/>
    <w:rsid w:val="009A516B"/>
    <w:rsid w:val="009A5C7C"/>
    <w:rsid w:val="009B18F9"/>
    <w:rsid w:val="009B24EA"/>
    <w:rsid w:val="009C01AD"/>
    <w:rsid w:val="009C0BFD"/>
    <w:rsid w:val="009C165A"/>
    <w:rsid w:val="009C3063"/>
    <w:rsid w:val="009C6430"/>
    <w:rsid w:val="009C6793"/>
    <w:rsid w:val="009D1A78"/>
    <w:rsid w:val="009D6335"/>
    <w:rsid w:val="009E05F3"/>
    <w:rsid w:val="009E09AE"/>
    <w:rsid w:val="009E13F1"/>
    <w:rsid w:val="009E5D23"/>
    <w:rsid w:val="009F1669"/>
    <w:rsid w:val="009F3A3B"/>
    <w:rsid w:val="009F5FC5"/>
    <w:rsid w:val="009F60F9"/>
    <w:rsid w:val="00A0108A"/>
    <w:rsid w:val="00A0304E"/>
    <w:rsid w:val="00A036FE"/>
    <w:rsid w:val="00A04D17"/>
    <w:rsid w:val="00A06A3D"/>
    <w:rsid w:val="00A06E8C"/>
    <w:rsid w:val="00A07D3B"/>
    <w:rsid w:val="00A12523"/>
    <w:rsid w:val="00A1435D"/>
    <w:rsid w:val="00A16758"/>
    <w:rsid w:val="00A213A5"/>
    <w:rsid w:val="00A21E77"/>
    <w:rsid w:val="00A234C8"/>
    <w:rsid w:val="00A257D2"/>
    <w:rsid w:val="00A32304"/>
    <w:rsid w:val="00A3481F"/>
    <w:rsid w:val="00A42341"/>
    <w:rsid w:val="00A4684D"/>
    <w:rsid w:val="00A50EE3"/>
    <w:rsid w:val="00A51F5F"/>
    <w:rsid w:val="00A54574"/>
    <w:rsid w:val="00A6012F"/>
    <w:rsid w:val="00A60A9B"/>
    <w:rsid w:val="00A61C14"/>
    <w:rsid w:val="00A63396"/>
    <w:rsid w:val="00A67D98"/>
    <w:rsid w:val="00A7135A"/>
    <w:rsid w:val="00A720B8"/>
    <w:rsid w:val="00A82158"/>
    <w:rsid w:val="00A864F3"/>
    <w:rsid w:val="00A86B03"/>
    <w:rsid w:val="00A9334C"/>
    <w:rsid w:val="00A9477B"/>
    <w:rsid w:val="00A9498B"/>
    <w:rsid w:val="00A95284"/>
    <w:rsid w:val="00A969CD"/>
    <w:rsid w:val="00A97BF0"/>
    <w:rsid w:val="00AA15A2"/>
    <w:rsid w:val="00AA465A"/>
    <w:rsid w:val="00AA61C3"/>
    <w:rsid w:val="00AA699B"/>
    <w:rsid w:val="00AA72D6"/>
    <w:rsid w:val="00AB200F"/>
    <w:rsid w:val="00AB22C1"/>
    <w:rsid w:val="00AB6147"/>
    <w:rsid w:val="00AB67D6"/>
    <w:rsid w:val="00AB723C"/>
    <w:rsid w:val="00AC07C8"/>
    <w:rsid w:val="00AC2774"/>
    <w:rsid w:val="00AD0A26"/>
    <w:rsid w:val="00AD42EC"/>
    <w:rsid w:val="00AD4427"/>
    <w:rsid w:val="00AD4E0E"/>
    <w:rsid w:val="00AF117C"/>
    <w:rsid w:val="00AF323C"/>
    <w:rsid w:val="00AF66AB"/>
    <w:rsid w:val="00B00BFB"/>
    <w:rsid w:val="00B03340"/>
    <w:rsid w:val="00B065F6"/>
    <w:rsid w:val="00B07B90"/>
    <w:rsid w:val="00B07FF2"/>
    <w:rsid w:val="00B10670"/>
    <w:rsid w:val="00B131FC"/>
    <w:rsid w:val="00B15FD1"/>
    <w:rsid w:val="00B16225"/>
    <w:rsid w:val="00B22732"/>
    <w:rsid w:val="00B24FDD"/>
    <w:rsid w:val="00B274DB"/>
    <w:rsid w:val="00B40037"/>
    <w:rsid w:val="00B40AE4"/>
    <w:rsid w:val="00B42D36"/>
    <w:rsid w:val="00B43290"/>
    <w:rsid w:val="00B46F77"/>
    <w:rsid w:val="00B5088B"/>
    <w:rsid w:val="00B50FF4"/>
    <w:rsid w:val="00B51D4A"/>
    <w:rsid w:val="00B57D83"/>
    <w:rsid w:val="00B639E2"/>
    <w:rsid w:val="00B64E74"/>
    <w:rsid w:val="00B65331"/>
    <w:rsid w:val="00B65A26"/>
    <w:rsid w:val="00B66BB5"/>
    <w:rsid w:val="00B71438"/>
    <w:rsid w:val="00B75086"/>
    <w:rsid w:val="00B77A9B"/>
    <w:rsid w:val="00B82EFB"/>
    <w:rsid w:val="00B86D18"/>
    <w:rsid w:val="00B878B7"/>
    <w:rsid w:val="00B92310"/>
    <w:rsid w:val="00B92D0A"/>
    <w:rsid w:val="00B93DB5"/>
    <w:rsid w:val="00B947FC"/>
    <w:rsid w:val="00BA2690"/>
    <w:rsid w:val="00BA3805"/>
    <w:rsid w:val="00BA615A"/>
    <w:rsid w:val="00BA6E46"/>
    <w:rsid w:val="00BB0B46"/>
    <w:rsid w:val="00BB4B1C"/>
    <w:rsid w:val="00BB7921"/>
    <w:rsid w:val="00BC3D12"/>
    <w:rsid w:val="00BD0815"/>
    <w:rsid w:val="00BD3243"/>
    <w:rsid w:val="00BD36A6"/>
    <w:rsid w:val="00BE32DF"/>
    <w:rsid w:val="00BE71BA"/>
    <w:rsid w:val="00BF176A"/>
    <w:rsid w:val="00BF1E90"/>
    <w:rsid w:val="00C02956"/>
    <w:rsid w:val="00C038E2"/>
    <w:rsid w:val="00C0663C"/>
    <w:rsid w:val="00C11049"/>
    <w:rsid w:val="00C12901"/>
    <w:rsid w:val="00C148A6"/>
    <w:rsid w:val="00C20385"/>
    <w:rsid w:val="00C20689"/>
    <w:rsid w:val="00C211B4"/>
    <w:rsid w:val="00C24C5B"/>
    <w:rsid w:val="00C25FDC"/>
    <w:rsid w:val="00C32824"/>
    <w:rsid w:val="00C3338A"/>
    <w:rsid w:val="00C33C11"/>
    <w:rsid w:val="00C33FA7"/>
    <w:rsid w:val="00C34FD4"/>
    <w:rsid w:val="00C3599E"/>
    <w:rsid w:val="00C426ED"/>
    <w:rsid w:val="00C4374D"/>
    <w:rsid w:val="00C475CF"/>
    <w:rsid w:val="00C47DFA"/>
    <w:rsid w:val="00C510AC"/>
    <w:rsid w:val="00C54C5F"/>
    <w:rsid w:val="00C56871"/>
    <w:rsid w:val="00C56B97"/>
    <w:rsid w:val="00C6231C"/>
    <w:rsid w:val="00C63E86"/>
    <w:rsid w:val="00C65E48"/>
    <w:rsid w:val="00C77385"/>
    <w:rsid w:val="00C77611"/>
    <w:rsid w:val="00C776A9"/>
    <w:rsid w:val="00C77AB0"/>
    <w:rsid w:val="00C80903"/>
    <w:rsid w:val="00C82805"/>
    <w:rsid w:val="00C82B1F"/>
    <w:rsid w:val="00C837B9"/>
    <w:rsid w:val="00C861BE"/>
    <w:rsid w:val="00C87B80"/>
    <w:rsid w:val="00C902B3"/>
    <w:rsid w:val="00C91432"/>
    <w:rsid w:val="00C932DF"/>
    <w:rsid w:val="00C94B71"/>
    <w:rsid w:val="00C97618"/>
    <w:rsid w:val="00CA2E3D"/>
    <w:rsid w:val="00CA39D7"/>
    <w:rsid w:val="00CA5F01"/>
    <w:rsid w:val="00CB7318"/>
    <w:rsid w:val="00CC03E3"/>
    <w:rsid w:val="00CC24D5"/>
    <w:rsid w:val="00CC4ED5"/>
    <w:rsid w:val="00CC74AD"/>
    <w:rsid w:val="00CD04D4"/>
    <w:rsid w:val="00CD3E15"/>
    <w:rsid w:val="00CF2822"/>
    <w:rsid w:val="00CF2D64"/>
    <w:rsid w:val="00D00CC5"/>
    <w:rsid w:val="00D02DD1"/>
    <w:rsid w:val="00D07428"/>
    <w:rsid w:val="00D10175"/>
    <w:rsid w:val="00D123DA"/>
    <w:rsid w:val="00D146FE"/>
    <w:rsid w:val="00D22FB7"/>
    <w:rsid w:val="00D235B7"/>
    <w:rsid w:val="00D241B2"/>
    <w:rsid w:val="00D26C17"/>
    <w:rsid w:val="00D322CE"/>
    <w:rsid w:val="00D33BF1"/>
    <w:rsid w:val="00D3497A"/>
    <w:rsid w:val="00D360A4"/>
    <w:rsid w:val="00D379D2"/>
    <w:rsid w:val="00D41E2D"/>
    <w:rsid w:val="00D41EB0"/>
    <w:rsid w:val="00D54A6A"/>
    <w:rsid w:val="00D57B77"/>
    <w:rsid w:val="00D61C47"/>
    <w:rsid w:val="00D64595"/>
    <w:rsid w:val="00D659A5"/>
    <w:rsid w:val="00D66964"/>
    <w:rsid w:val="00D71675"/>
    <w:rsid w:val="00D739C7"/>
    <w:rsid w:val="00D824F4"/>
    <w:rsid w:val="00D825DA"/>
    <w:rsid w:val="00D826D2"/>
    <w:rsid w:val="00D86D04"/>
    <w:rsid w:val="00D8700D"/>
    <w:rsid w:val="00D913AB"/>
    <w:rsid w:val="00D926FE"/>
    <w:rsid w:val="00D95D00"/>
    <w:rsid w:val="00D965E8"/>
    <w:rsid w:val="00DA0E71"/>
    <w:rsid w:val="00DA2C48"/>
    <w:rsid w:val="00DA46B8"/>
    <w:rsid w:val="00DA62E4"/>
    <w:rsid w:val="00DA7028"/>
    <w:rsid w:val="00DA764F"/>
    <w:rsid w:val="00DA76F3"/>
    <w:rsid w:val="00DB035C"/>
    <w:rsid w:val="00DB08F7"/>
    <w:rsid w:val="00DB1114"/>
    <w:rsid w:val="00DB5BBA"/>
    <w:rsid w:val="00DB7CDE"/>
    <w:rsid w:val="00DC5F0D"/>
    <w:rsid w:val="00DC6852"/>
    <w:rsid w:val="00DD34C2"/>
    <w:rsid w:val="00DE1639"/>
    <w:rsid w:val="00DE17C3"/>
    <w:rsid w:val="00DF28ED"/>
    <w:rsid w:val="00DF587E"/>
    <w:rsid w:val="00DF7451"/>
    <w:rsid w:val="00E035FF"/>
    <w:rsid w:val="00E071A5"/>
    <w:rsid w:val="00E12E70"/>
    <w:rsid w:val="00E16A90"/>
    <w:rsid w:val="00E22340"/>
    <w:rsid w:val="00E2375C"/>
    <w:rsid w:val="00E25F46"/>
    <w:rsid w:val="00E268E9"/>
    <w:rsid w:val="00E32E6C"/>
    <w:rsid w:val="00E3581C"/>
    <w:rsid w:val="00E377D6"/>
    <w:rsid w:val="00E44509"/>
    <w:rsid w:val="00E51604"/>
    <w:rsid w:val="00E56165"/>
    <w:rsid w:val="00E65613"/>
    <w:rsid w:val="00E65E05"/>
    <w:rsid w:val="00E661D4"/>
    <w:rsid w:val="00E6683D"/>
    <w:rsid w:val="00E73240"/>
    <w:rsid w:val="00E7462B"/>
    <w:rsid w:val="00E74A8E"/>
    <w:rsid w:val="00E74CD2"/>
    <w:rsid w:val="00E754FD"/>
    <w:rsid w:val="00E7586A"/>
    <w:rsid w:val="00E801C7"/>
    <w:rsid w:val="00E8291E"/>
    <w:rsid w:val="00E82A3A"/>
    <w:rsid w:val="00E87185"/>
    <w:rsid w:val="00E905B2"/>
    <w:rsid w:val="00E9169D"/>
    <w:rsid w:val="00E96B01"/>
    <w:rsid w:val="00E972C9"/>
    <w:rsid w:val="00E97576"/>
    <w:rsid w:val="00EA3485"/>
    <w:rsid w:val="00EA4483"/>
    <w:rsid w:val="00EA45D9"/>
    <w:rsid w:val="00EB3AFE"/>
    <w:rsid w:val="00EB5AED"/>
    <w:rsid w:val="00EB5FC1"/>
    <w:rsid w:val="00EC4B7A"/>
    <w:rsid w:val="00EC74B4"/>
    <w:rsid w:val="00ED2167"/>
    <w:rsid w:val="00ED2546"/>
    <w:rsid w:val="00ED5564"/>
    <w:rsid w:val="00ED63C8"/>
    <w:rsid w:val="00ED6813"/>
    <w:rsid w:val="00EE12B3"/>
    <w:rsid w:val="00EE2445"/>
    <w:rsid w:val="00EE6662"/>
    <w:rsid w:val="00EE7B28"/>
    <w:rsid w:val="00EF2A27"/>
    <w:rsid w:val="00EF394D"/>
    <w:rsid w:val="00EF5B11"/>
    <w:rsid w:val="00EF6FAF"/>
    <w:rsid w:val="00F00B46"/>
    <w:rsid w:val="00F01F37"/>
    <w:rsid w:val="00F02FC6"/>
    <w:rsid w:val="00F03394"/>
    <w:rsid w:val="00F07D5D"/>
    <w:rsid w:val="00F12B49"/>
    <w:rsid w:val="00F16FBA"/>
    <w:rsid w:val="00F17D0F"/>
    <w:rsid w:val="00F218C8"/>
    <w:rsid w:val="00F2369B"/>
    <w:rsid w:val="00F30868"/>
    <w:rsid w:val="00F32621"/>
    <w:rsid w:val="00F41B8E"/>
    <w:rsid w:val="00F427B9"/>
    <w:rsid w:val="00F44D79"/>
    <w:rsid w:val="00F515DA"/>
    <w:rsid w:val="00F603C6"/>
    <w:rsid w:val="00F60E7A"/>
    <w:rsid w:val="00F62DCB"/>
    <w:rsid w:val="00F64B77"/>
    <w:rsid w:val="00F662EA"/>
    <w:rsid w:val="00F7649A"/>
    <w:rsid w:val="00F76A77"/>
    <w:rsid w:val="00F77890"/>
    <w:rsid w:val="00F816CB"/>
    <w:rsid w:val="00F87430"/>
    <w:rsid w:val="00F8776D"/>
    <w:rsid w:val="00F95238"/>
    <w:rsid w:val="00FA1A24"/>
    <w:rsid w:val="00FA1AFC"/>
    <w:rsid w:val="00FA1FE1"/>
    <w:rsid w:val="00FB4AC8"/>
    <w:rsid w:val="00FC28FD"/>
    <w:rsid w:val="00FC5C34"/>
    <w:rsid w:val="00FD0E4C"/>
    <w:rsid w:val="00FD119A"/>
    <w:rsid w:val="00FD5C32"/>
    <w:rsid w:val="00FD70E1"/>
    <w:rsid w:val="00FE1397"/>
    <w:rsid w:val="00FE2874"/>
    <w:rsid w:val="00FE46AC"/>
    <w:rsid w:val="00FE7DA4"/>
    <w:rsid w:val="00FF2F01"/>
    <w:rsid w:val="00FF36F9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8CB5992"/>
  <w15:docId w15:val="{77ABAA8E-21F3-4E0D-A8F2-94DCAC8E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Comic Sans MS" w:hAnsi="Comic Sans MS"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Futura-Bold" w:hAnsi="Futura-Bold"/>
      <w:b/>
      <w:bCs/>
      <w:sz w:val="32"/>
      <w:szCs w:val="1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</w:style>
  <w:style w:type="character" w:styleId="Collegamentoipertestuale">
    <w:name w:val="Hyperlink"/>
    <w:basedOn w:val="Carpredefinitoparagrafo"/>
    <w:rsid w:val="002F2600"/>
    <w:rPr>
      <w:color w:val="0000FF"/>
      <w:u w:val="single"/>
    </w:rPr>
  </w:style>
  <w:style w:type="paragraph" w:customStyle="1" w:styleId="xl23">
    <w:name w:val="xl23"/>
    <w:basedOn w:val="Normale"/>
    <w:rsid w:val="006B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umeropagina">
    <w:name w:val="page number"/>
    <w:basedOn w:val="Carpredefinitoparagrafo"/>
    <w:rsid w:val="005F70D3"/>
  </w:style>
  <w:style w:type="paragraph" w:styleId="Paragrafoelenco">
    <w:name w:val="List Paragraph"/>
    <w:basedOn w:val="Normale"/>
    <w:uiPriority w:val="34"/>
    <w:qFormat/>
    <w:rsid w:val="00660D5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125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fa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nfindustria.it/Conf2004/dbdocPriv2004.nsf/3FAD59D606881C84C1256F6A0060B533/$File/M_280.jpg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7D1C-9ADA-4B50-9D86-8419D488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1940</Words>
  <Characters>10601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12516</CharactersWithSpaces>
  <SharedDoc>false</SharedDoc>
  <HLinks>
    <vt:vector size="12" baseType="variant">
      <vt:variant>
        <vt:i4>327685</vt:i4>
      </vt:variant>
      <vt:variant>
        <vt:i4>5</vt:i4>
      </vt:variant>
      <vt:variant>
        <vt:i4>0</vt:i4>
      </vt:variant>
      <vt:variant>
        <vt:i4>5</vt:i4>
      </vt:variant>
      <vt:variant>
        <vt:lpwstr>http://www.anfao.it/</vt:lpwstr>
      </vt:variant>
      <vt:variant>
        <vt:lpwstr/>
      </vt:variant>
      <vt:variant>
        <vt:i4>6029373</vt:i4>
      </vt:variant>
      <vt:variant>
        <vt:i4>-1</vt:i4>
      </vt:variant>
      <vt:variant>
        <vt:i4>2052</vt:i4>
      </vt:variant>
      <vt:variant>
        <vt:i4>1</vt:i4>
      </vt:variant>
      <vt:variant>
        <vt:lpwstr>http://www.confindustria.it/Conf2004/dbdocPriv2004.nsf/3FAD59D606881C84C1256F6A0060B533/$File/M_280.jpg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Ronchi</dc:creator>
  <cp:lastModifiedBy>Cinzia Ronchi</cp:lastModifiedBy>
  <cp:revision>3</cp:revision>
  <cp:lastPrinted>2018-02-22T14:49:00Z</cp:lastPrinted>
  <dcterms:created xsi:type="dcterms:W3CDTF">2018-02-22T14:48:00Z</dcterms:created>
  <dcterms:modified xsi:type="dcterms:W3CDTF">2018-02-22T14:50:00Z</dcterms:modified>
</cp:coreProperties>
</file>